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50C" w:rsidRDefault="00F331C4">
      <w:pPr>
        <w:jc w:val="center"/>
        <w:rPr>
          <w:rFonts w:hint="eastAsia"/>
          <w:sz w:val="22"/>
          <w:szCs w:val="22"/>
        </w:rPr>
      </w:pPr>
      <w:r>
        <w:rPr>
          <w:noProof/>
          <w:lang w:eastAsia="fr-FR" w:bidi="ar-SA"/>
        </w:rPr>
        <w:drawing>
          <wp:inline distT="0" distB="0" distL="0" distR="0">
            <wp:extent cx="6118860" cy="792480"/>
            <wp:effectExtent l="0" t="0" r="0" b="0"/>
            <wp:docPr id="186162340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118860" cy="792480"/>
                    </a:xfrm>
                    <a:prstGeom prst="rect">
                      <a:avLst/>
                    </a:prstGeom>
                    <a:ln/>
                  </pic:spPr>
                </pic:pic>
              </a:graphicData>
            </a:graphic>
          </wp:inline>
        </w:drawing>
      </w:r>
    </w:p>
    <w:p w:rsidR="0083050C" w:rsidRDefault="0083050C">
      <w:pPr>
        <w:rPr>
          <w:rFonts w:hint="eastAsia"/>
          <w:sz w:val="22"/>
          <w:szCs w:val="22"/>
        </w:rPr>
      </w:pPr>
    </w:p>
    <w:p w:rsidR="0083050C" w:rsidRDefault="0083050C">
      <w:pPr>
        <w:pBdr>
          <w:top w:val="nil"/>
          <w:left w:val="nil"/>
          <w:bottom w:val="nil"/>
          <w:right w:val="nil"/>
          <w:between w:val="nil"/>
        </w:pBdr>
        <w:rPr>
          <w:rFonts w:eastAsia="Verdana" w:cs="Verdana"/>
          <w:b/>
          <w:color w:val="000000"/>
          <w:sz w:val="22"/>
          <w:szCs w:val="22"/>
          <w:highlight w:val="white"/>
        </w:rPr>
      </w:pPr>
    </w:p>
    <w:p w:rsidR="0083050C" w:rsidRDefault="00F331C4">
      <w:pPr>
        <w:widowControl/>
        <w:pBdr>
          <w:top w:val="nil"/>
          <w:left w:val="nil"/>
          <w:bottom w:val="nil"/>
          <w:right w:val="nil"/>
          <w:between w:val="nil"/>
        </w:pBdr>
        <w:spacing w:before="280" w:after="280"/>
        <w:jc w:val="center"/>
        <w:rPr>
          <w:rFonts w:eastAsia="Verdana" w:cs="Verdana"/>
          <w:b/>
          <w:color w:val="000000"/>
          <w:sz w:val="36"/>
          <w:szCs w:val="36"/>
        </w:rPr>
      </w:pPr>
      <w:r>
        <w:rPr>
          <w:rFonts w:eastAsia="Verdana" w:cs="Verdana"/>
          <w:b/>
          <w:color w:val="000000"/>
          <w:sz w:val="36"/>
          <w:szCs w:val="36"/>
        </w:rPr>
        <w:t>Rapport ICOM-CECA 2024</w:t>
      </w:r>
    </w:p>
    <w:p w:rsidR="0083050C" w:rsidRDefault="0083050C">
      <w:pPr>
        <w:widowControl/>
        <w:pBdr>
          <w:top w:val="nil"/>
          <w:left w:val="nil"/>
          <w:bottom w:val="nil"/>
          <w:right w:val="nil"/>
          <w:between w:val="nil"/>
        </w:pBdr>
        <w:jc w:val="center"/>
        <w:rPr>
          <w:rFonts w:eastAsia="Verdana" w:cs="Verdana"/>
          <w:b/>
          <w:color w:val="000000"/>
          <w:sz w:val="36"/>
          <w:szCs w:val="36"/>
        </w:rPr>
      </w:pPr>
    </w:p>
    <w:p w:rsidR="0083050C" w:rsidRDefault="00F331C4">
      <w:pPr>
        <w:widowControl/>
        <w:pBdr>
          <w:top w:val="nil"/>
          <w:left w:val="nil"/>
          <w:bottom w:val="nil"/>
          <w:right w:val="nil"/>
          <w:between w:val="nil"/>
        </w:pBdr>
        <w:jc w:val="center"/>
        <w:rPr>
          <w:rFonts w:eastAsia="Verdana" w:cs="Verdana"/>
          <w:b/>
          <w:color w:val="000000"/>
          <w:sz w:val="36"/>
          <w:szCs w:val="36"/>
        </w:rPr>
      </w:pPr>
      <w:r>
        <w:rPr>
          <w:rFonts w:eastAsia="Verdana" w:cs="Verdana"/>
          <w:b/>
          <w:color w:val="000000"/>
          <w:sz w:val="36"/>
          <w:szCs w:val="36"/>
        </w:rPr>
        <w:t>GROUPE D'INTERET SPECIAL POUR LE DEVELOPPEMENT PROFESSIONNEL DES EDUCATEURS DE MUSEES</w:t>
      </w:r>
    </w:p>
    <w:p w:rsidR="0083050C" w:rsidRDefault="0083050C">
      <w:pPr>
        <w:widowControl/>
        <w:pBdr>
          <w:top w:val="nil"/>
          <w:left w:val="nil"/>
          <w:bottom w:val="nil"/>
          <w:right w:val="nil"/>
          <w:between w:val="nil"/>
        </w:pBdr>
        <w:jc w:val="center"/>
        <w:rPr>
          <w:rFonts w:eastAsia="Verdana" w:cs="Verdana"/>
          <w:b/>
          <w:color w:val="000000"/>
          <w:sz w:val="36"/>
          <w:szCs w:val="36"/>
        </w:rPr>
      </w:pPr>
    </w:p>
    <w:p w:rsidR="0083050C" w:rsidRDefault="00F331C4">
      <w:pPr>
        <w:widowControl/>
        <w:pBdr>
          <w:top w:val="nil"/>
          <w:left w:val="nil"/>
          <w:bottom w:val="nil"/>
          <w:right w:val="nil"/>
          <w:between w:val="nil"/>
        </w:pBdr>
        <w:spacing w:before="280" w:after="280"/>
        <w:jc w:val="center"/>
        <w:rPr>
          <w:rFonts w:eastAsia="Verdana" w:cs="Verdana"/>
          <w:color w:val="000000"/>
          <w:sz w:val="36"/>
          <w:szCs w:val="36"/>
        </w:rPr>
      </w:pPr>
      <w:r>
        <w:rPr>
          <w:rFonts w:eastAsia="Verdana" w:cs="Verdana"/>
          <w:color w:val="000000"/>
          <w:sz w:val="36"/>
          <w:szCs w:val="36"/>
        </w:rPr>
        <w:t>Coordinateur : WENCKE MADERBACHER</w:t>
      </w:r>
    </w:p>
    <w:tbl>
      <w:tblPr>
        <w:tblStyle w:val="a"/>
        <w:tblW w:w="9638" w:type="dxa"/>
        <w:tblInd w:w="0" w:type="dxa"/>
        <w:tblLayout w:type="fixed"/>
        <w:tblLook w:val="0000"/>
      </w:tblPr>
      <w:tblGrid>
        <w:gridCol w:w="9638"/>
      </w:tblGrid>
      <w:tr w:rsidR="0083050C">
        <w:trPr>
          <w:cantSplit/>
          <w:tblHeader/>
        </w:trPr>
        <w:tc>
          <w:tcPr>
            <w:tcW w:w="9638" w:type="dxa"/>
            <w:shd w:val="clear" w:color="auto" w:fill="auto"/>
          </w:tcPr>
          <w:p w:rsidR="0083050C" w:rsidRDefault="0083050C">
            <w:pPr>
              <w:pBdr>
                <w:top w:val="nil"/>
                <w:left w:val="nil"/>
                <w:bottom w:val="nil"/>
                <w:right w:val="nil"/>
                <w:between w:val="nil"/>
              </w:pBdr>
              <w:jc w:val="center"/>
              <w:rPr>
                <w:rFonts w:eastAsia="Verdana" w:cs="Verdana"/>
                <w:color w:val="000000"/>
              </w:rPr>
            </w:pPr>
          </w:p>
          <w:p w:rsidR="0083050C" w:rsidRDefault="00F331C4">
            <w:pPr>
              <w:pBdr>
                <w:top w:val="nil"/>
                <w:left w:val="nil"/>
                <w:bottom w:val="nil"/>
                <w:right w:val="nil"/>
                <w:between w:val="nil"/>
              </w:pBdr>
              <w:jc w:val="center"/>
              <w:rPr>
                <w:rFonts w:eastAsia="Verdana" w:cs="Verdana"/>
                <w:color w:val="000000"/>
              </w:rPr>
            </w:pPr>
            <w:r>
              <w:rPr>
                <w:rFonts w:eastAsia="Verdana" w:cs="Verdana"/>
                <w:noProof/>
                <w:color w:val="000000"/>
                <w:lang w:eastAsia="fr-FR" w:bidi="ar-SA"/>
              </w:rPr>
              <w:drawing>
                <wp:inline distT="0" distB="0" distL="0" distR="0">
                  <wp:extent cx="3517795" cy="3036148"/>
                  <wp:effectExtent l="0" t="0" r="0" b="0"/>
                  <wp:docPr id="18616234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t="22677" b="12598"/>
                          <a:stretch>
                            <a:fillRect/>
                          </a:stretch>
                        </pic:blipFill>
                        <pic:spPr>
                          <a:xfrm>
                            <a:off x="0" y="0"/>
                            <a:ext cx="3517795" cy="3036148"/>
                          </a:xfrm>
                          <a:prstGeom prst="rect">
                            <a:avLst/>
                          </a:prstGeom>
                          <a:ln/>
                        </pic:spPr>
                      </pic:pic>
                    </a:graphicData>
                  </a:graphic>
                </wp:inline>
              </w:drawing>
            </w:r>
          </w:p>
        </w:tc>
      </w:tr>
    </w:tbl>
    <w:p w:rsidR="0083050C" w:rsidRDefault="0083050C">
      <w:pPr>
        <w:rPr>
          <w:rFonts w:hint="eastAsia"/>
        </w:rPr>
      </w:pPr>
    </w:p>
    <w:p w:rsidR="0083050C" w:rsidRDefault="0083050C">
      <w:pPr>
        <w:rPr>
          <w:rFonts w:hint="eastAsia"/>
          <w:b/>
        </w:rPr>
      </w:pPr>
    </w:p>
    <w:p w:rsidR="0083050C" w:rsidRDefault="00F331C4">
      <w:pPr>
        <w:keepNext/>
        <w:keepLines/>
        <w:widowControl/>
        <w:pBdr>
          <w:top w:val="nil"/>
          <w:left w:val="nil"/>
          <w:bottom w:val="nil"/>
          <w:right w:val="nil"/>
          <w:between w:val="nil"/>
        </w:pBdr>
        <w:spacing w:before="240" w:line="259" w:lineRule="auto"/>
        <w:rPr>
          <w:rFonts w:ascii="Calibri" w:eastAsia="Calibri" w:hAnsi="Calibri" w:cs="Calibri"/>
          <w:color w:val="2F5496"/>
          <w:sz w:val="32"/>
          <w:szCs w:val="32"/>
        </w:rPr>
      </w:pPr>
      <w:r>
        <w:rPr>
          <w:rFonts w:ascii="Calibri" w:eastAsia="Calibri" w:hAnsi="Calibri" w:cs="Calibri"/>
          <w:color w:val="2F5496"/>
          <w:sz w:val="32"/>
          <w:szCs w:val="32"/>
        </w:rPr>
        <w:t>Contenu</w:t>
      </w:r>
    </w:p>
    <w:sdt>
      <w:sdtPr>
        <w:id w:val="-1768241905"/>
        <w:docPartObj>
          <w:docPartGallery w:val="Table of Contents"/>
          <w:docPartUnique/>
        </w:docPartObj>
      </w:sdtPr>
      <w:sdtContent>
        <w:p w:rsidR="0083050C" w:rsidRDefault="0083050C">
          <w:pPr>
            <w:pBdr>
              <w:top w:val="nil"/>
              <w:left w:val="nil"/>
              <w:bottom w:val="nil"/>
              <w:right w:val="nil"/>
              <w:between w:val="nil"/>
            </w:pBdr>
            <w:tabs>
              <w:tab w:val="right" w:pos="9628"/>
            </w:tabs>
            <w:rPr>
              <w:rFonts w:ascii="Calibri" w:eastAsia="Calibri" w:hAnsi="Calibri" w:cs="Calibri"/>
              <w:color w:val="000000"/>
            </w:rPr>
          </w:pPr>
          <w:r>
            <w:fldChar w:fldCharType="begin"/>
          </w:r>
          <w:r w:rsidR="00F331C4">
            <w:instrText xml:space="preserve"> TOC \h \u \z \t "Heading 1,1,Heading 2,2,Heading 3,3,"</w:instrText>
          </w:r>
          <w:r>
            <w:fldChar w:fldCharType="separate"/>
          </w:r>
          <w:hyperlink w:anchor="_heading=h.30j0zll">
            <w:r w:rsidR="00F331C4">
              <w:rPr>
                <w:rFonts w:eastAsia="Verdana" w:cs="Verdana"/>
                <w:color w:val="000000"/>
              </w:rPr>
              <w:t>Description</w:t>
            </w:r>
            <w:r w:rsidR="00F331C4">
              <w:rPr>
                <w:rFonts w:eastAsia="Verdana" w:cs="Verdana"/>
                <w:color w:val="000000"/>
              </w:rPr>
              <w:tab/>
              <w:t>2</w:t>
            </w:r>
          </w:hyperlink>
        </w:p>
        <w:p w:rsidR="0083050C" w:rsidRDefault="0083050C">
          <w:pPr>
            <w:pBdr>
              <w:top w:val="nil"/>
              <w:left w:val="nil"/>
              <w:bottom w:val="nil"/>
              <w:right w:val="nil"/>
              <w:between w:val="nil"/>
            </w:pBdr>
            <w:tabs>
              <w:tab w:val="right" w:pos="9628"/>
            </w:tabs>
            <w:rPr>
              <w:rFonts w:ascii="Calibri" w:eastAsia="Calibri" w:hAnsi="Calibri" w:cs="Calibri"/>
              <w:color w:val="000000"/>
            </w:rPr>
          </w:pPr>
          <w:hyperlink w:anchor="_heading=h.1fob9te">
            <w:r w:rsidR="00F331C4">
              <w:rPr>
                <w:rFonts w:eastAsia="Verdana" w:cs="Verdana"/>
                <w:color w:val="000000"/>
              </w:rPr>
              <w:t>Thèmes principaux du groupe d'intérêt scientifique</w:t>
            </w:r>
            <w:r w:rsidR="00F331C4">
              <w:rPr>
                <w:rFonts w:eastAsia="Verdana" w:cs="Verdana"/>
                <w:color w:val="000000"/>
              </w:rPr>
              <w:tab/>
              <w:t>2</w:t>
            </w:r>
          </w:hyperlink>
        </w:p>
        <w:p w:rsidR="0083050C" w:rsidRDefault="0083050C">
          <w:pPr>
            <w:pBdr>
              <w:top w:val="nil"/>
              <w:left w:val="nil"/>
              <w:bottom w:val="nil"/>
              <w:right w:val="nil"/>
              <w:between w:val="nil"/>
            </w:pBdr>
            <w:tabs>
              <w:tab w:val="right" w:pos="9628"/>
            </w:tabs>
            <w:rPr>
              <w:rFonts w:ascii="Calibri" w:eastAsia="Calibri" w:hAnsi="Calibri" w:cs="Calibri"/>
              <w:color w:val="000000"/>
            </w:rPr>
          </w:pPr>
          <w:hyperlink w:anchor="_heading=h.3znysh7">
            <w:r w:rsidR="00F331C4">
              <w:rPr>
                <w:rFonts w:eastAsia="Verdana" w:cs="Verdana"/>
                <w:color w:val="000000"/>
              </w:rPr>
              <w:t>Membres</w:t>
            </w:r>
            <w:r w:rsidR="00F331C4">
              <w:rPr>
                <w:rFonts w:eastAsia="Verdana" w:cs="Verdana"/>
                <w:color w:val="000000"/>
              </w:rPr>
              <w:tab/>
              <w:t>2</w:t>
            </w:r>
          </w:hyperlink>
        </w:p>
        <w:p w:rsidR="0083050C" w:rsidRDefault="0083050C">
          <w:pPr>
            <w:pBdr>
              <w:top w:val="nil"/>
              <w:left w:val="nil"/>
              <w:bottom w:val="nil"/>
              <w:right w:val="nil"/>
              <w:between w:val="nil"/>
            </w:pBdr>
            <w:tabs>
              <w:tab w:val="right" w:pos="9628"/>
            </w:tabs>
            <w:rPr>
              <w:rFonts w:ascii="Calibri" w:eastAsia="Calibri" w:hAnsi="Calibri" w:cs="Calibri"/>
              <w:color w:val="000000"/>
            </w:rPr>
          </w:pPr>
          <w:hyperlink w:anchor="_heading=h.2et92p0">
            <w:r w:rsidR="00F331C4">
              <w:rPr>
                <w:rFonts w:eastAsia="Verdana" w:cs="Verdana"/>
                <w:color w:val="000000"/>
              </w:rPr>
              <w:t>Activités 2024</w:t>
            </w:r>
            <w:r w:rsidR="00F331C4">
              <w:rPr>
                <w:rFonts w:eastAsia="Verdana" w:cs="Verdana"/>
                <w:color w:val="000000"/>
              </w:rPr>
              <w:tab/>
              <w:t>3</w:t>
            </w:r>
          </w:hyperlink>
        </w:p>
        <w:p w:rsidR="0083050C" w:rsidRDefault="0083050C">
          <w:pPr>
            <w:pBdr>
              <w:top w:val="nil"/>
              <w:left w:val="nil"/>
              <w:bottom w:val="nil"/>
              <w:right w:val="nil"/>
              <w:between w:val="nil"/>
            </w:pBdr>
            <w:tabs>
              <w:tab w:val="right" w:pos="9628"/>
            </w:tabs>
            <w:rPr>
              <w:rFonts w:ascii="Calibri" w:eastAsia="Calibri" w:hAnsi="Calibri" w:cs="Calibri"/>
              <w:color w:val="000000"/>
            </w:rPr>
          </w:pPr>
          <w:hyperlink w:anchor="_heading=h.tyjcwt">
            <w:r w:rsidR="00F331C4">
              <w:rPr>
                <w:rFonts w:eastAsia="Verdana" w:cs="Verdana"/>
                <w:color w:val="000000"/>
              </w:rPr>
              <w:t>Communication et collaboration</w:t>
            </w:r>
            <w:r w:rsidR="00F331C4">
              <w:rPr>
                <w:rFonts w:eastAsia="Verdana" w:cs="Verdana"/>
                <w:color w:val="000000"/>
              </w:rPr>
              <w:tab/>
              <w:t>4</w:t>
            </w:r>
          </w:hyperlink>
        </w:p>
        <w:p w:rsidR="0083050C" w:rsidRDefault="0083050C">
          <w:pPr>
            <w:rPr>
              <w:rFonts w:hint="eastAsia"/>
            </w:rPr>
          </w:pPr>
          <w:r>
            <w:fldChar w:fldCharType="end"/>
          </w:r>
        </w:p>
      </w:sdtContent>
    </w:sdt>
    <w:p w:rsidR="0083050C" w:rsidRDefault="00F331C4">
      <w:pPr>
        <w:widowControl/>
        <w:rPr>
          <w:rFonts w:hint="eastAsia"/>
          <w:b/>
        </w:rPr>
      </w:pPr>
      <w:r>
        <w:br w:type="page"/>
      </w:r>
      <w:r>
        <w:rPr>
          <w:b/>
          <w:sz w:val="40"/>
          <w:szCs w:val="40"/>
        </w:rPr>
        <w:lastRenderedPageBreak/>
        <w:t>Groupe d'intérêt spécial Formation professionnelle des éducateurs de musée</w:t>
      </w:r>
    </w:p>
    <w:p w:rsidR="0083050C" w:rsidRDefault="0083050C">
      <w:pPr>
        <w:widowControl/>
        <w:pBdr>
          <w:top w:val="nil"/>
          <w:left w:val="nil"/>
          <w:bottom w:val="nil"/>
          <w:right w:val="nil"/>
          <w:between w:val="nil"/>
        </w:pBdr>
        <w:spacing w:line="259" w:lineRule="auto"/>
        <w:ind w:left="720"/>
        <w:rPr>
          <w:rFonts w:eastAsia="Verdana" w:cs="Verdana"/>
          <w:color w:val="000000"/>
          <w:sz w:val="22"/>
          <w:szCs w:val="22"/>
        </w:rPr>
      </w:pPr>
    </w:p>
    <w:p w:rsidR="0083050C" w:rsidRDefault="00F331C4">
      <w:pPr>
        <w:widowControl/>
        <w:pBdr>
          <w:top w:val="nil"/>
          <w:left w:val="nil"/>
          <w:bottom w:val="nil"/>
          <w:right w:val="nil"/>
          <w:between w:val="nil"/>
        </w:pBdr>
        <w:spacing w:line="259" w:lineRule="auto"/>
        <w:ind w:left="720"/>
        <w:rPr>
          <w:rFonts w:eastAsia="Verdana" w:cs="Verdana"/>
          <w:color w:val="000000"/>
          <w:sz w:val="22"/>
          <w:szCs w:val="22"/>
        </w:rPr>
      </w:pPr>
      <w:bookmarkStart w:id="0" w:name="_heading=h.gjdgxs" w:colFirst="0" w:colLast="0"/>
      <w:bookmarkEnd w:id="0"/>
      <w:r>
        <w:rPr>
          <w:rFonts w:eastAsia="Verdana" w:cs="Verdana"/>
          <w:b/>
          <w:color w:val="000000"/>
          <w:sz w:val="22"/>
          <w:szCs w:val="22"/>
        </w:rPr>
        <w:t>Coordinateur :</w:t>
      </w:r>
      <w:r>
        <w:rPr>
          <w:rFonts w:eastAsia="Verdana" w:cs="Verdana"/>
          <w:color w:val="000000"/>
          <w:sz w:val="22"/>
          <w:szCs w:val="22"/>
        </w:rPr>
        <w:t xml:space="preserve"> Wencke Maderbacher </w:t>
      </w:r>
    </w:p>
    <w:p w:rsidR="0083050C" w:rsidRDefault="0083050C">
      <w:pPr>
        <w:widowControl/>
        <w:pBdr>
          <w:top w:val="nil"/>
          <w:left w:val="nil"/>
          <w:bottom w:val="nil"/>
          <w:right w:val="nil"/>
          <w:between w:val="nil"/>
        </w:pBdr>
        <w:spacing w:after="160" w:line="259" w:lineRule="auto"/>
        <w:ind w:left="720"/>
        <w:rPr>
          <w:rFonts w:eastAsia="Verdana" w:cs="Verdana"/>
          <w:color w:val="000000"/>
          <w:sz w:val="22"/>
          <w:szCs w:val="22"/>
        </w:rPr>
      </w:pPr>
    </w:p>
    <w:p w:rsidR="0083050C" w:rsidRDefault="00F331C4">
      <w:pPr>
        <w:pStyle w:val="Titre1"/>
        <w:rPr>
          <w:sz w:val="40"/>
          <w:szCs w:val="40"/>
        </w:rPr>
      </w:pPr>
      <w:bookmarkStart w:id="1" w:name="_heading=h.30j0zll" w:colFirst="0" w:colLast="0"/>
      <w:bookmarkEnd w:id="1"/>
      <w:r>
        <w:rPr>
          <w:sz w:val="40"/>
          <w:szCs w:val="40"/>
        </w:rPr>
        <w:t>Description</w:t>
      </w:r>
    </w:p>
    <w:p w:rsidR="0083050C" w:rsidRDefault="00F331C4">
      <w:pPr>
        <w:widowControl/>
        <w:pBdr>
          <w:top w:val="nil"/>
          <w:left w:val="nil"/>
          <w:bottom w:val="nil"/>
          <w:right w:val="nil"/>
          <w:between w:val="nil"/>
        </w:pBdr>
        <w:spacing w:line="259" w:lineRule="auto"/>
        <w:ind w:left="720"/>
        <w:rPr>
          <w:rFonts w:eastAsia="Verdana" w:cs="Verdana"/>
          <w:color w:val="000000"/>
          <w:sz w:val="22"/>
          <w:szCs w:val="22"/>
        </w:rPr>
      </w:pPr>
      <w:r>
        <w:rPr>
          <w:rFonts w:eastAsia="Verdana" w:cs="Verdana"/>
          <w:color w:val="000000"/>
          <w:sz w:val="22"/>
          <w:szCs w:val="22"/>
        </w:rPr>
        <w:t>Fondé en mai 2020, le SIG pour le développement professionnel des éducateurs de musée a pour objectif de fournir une plateforme aux experts en éducation muséale pour échanger des connaissances et des idées sur la formation continue des professionnels de mu</w:t>
      </w:r>
      <w:r>
        <w:rPr>
          <w:rFonts w:eastAsia="Verdana" w:cs="Verdana"/>
          <w:color w:val="000000"/>
          <w:sz w:val="22"/>
          <w:szCs w:val="22"/>
        </w:rPr>
        <w:t xml:space="preserve">sée, en vue d'améliorer la situation professionnelle des médiateurs culturels dans les musées. Les éducateurs de musée méritent des contrats stables et une rémunération équitable, ainsi que la reconnaissance de </w:t>
      </w:r>
      <w:r>
        <w:rPr>
          <w:rFonts w:eastAsia="Verdana" w:cs="Verdana"/>
          <w:color w:val="000000"/>
          <w:sz w:val="22"/>
          <w:szCs w:val="22"/>
        </w:rPr>
        <w:br/>
        <w:t>leur travail et de leur profession à l'intér</w:t>
      </w:r>
      <w:r>
        <w:rPr>
          <w:rFonts w:eastAsia="Verdana" w:cs="Verdana"/>
          <w:color w:val="000000"/>
          <w:sz w:val="22"/>
          <w:szCs w:val="22"/>
        </w:rPr>
        <w:t>ieur et à l'extérieur de l'institution.</w:t>
      </w:r>
    </w:p>
    <w:p w:rsidR="0083050C" w:rsidRDefault="0083050C">
      <w:pPr>
        <w:widowControl/>
        <w:pBdr>
          <w:top w:val="nil"/>
          <w:left w:val="nil"/>
          <w:bottom w:val="nil"/>
          <w:right w:val="nil"/>
          <w:between w:val="nil"/>
        </w:pBdr>
        <w:spacing w:line="259" w:lineRule="auto"/>
        <w:ind w:left="720"/>
        <w:rPr>
          <w:rFonts w:eastAsia="Verdana" w:cs="Verdana"/>
          <w:color w:val="000000"/>
          <w:sz w:val="22"/>
          <w:szCs w:val="22"/>
        </w:rPr>
      </w:pPr>
    </w:p>
    <w:p w:rsidR="0083050C" w:rsidRDefault="00F331C4">
      <w:pPr>
        <w:widowControl/>
        <w:pBdr>
          <w:top w:val="nil"/>
          <w:left w:val="nil"/>
          <w:bottom w:val="nil"/>
          <w:right w:val="nil"/>
          <w:between w:val="nil"/>
        </w:pBdr>
        <w:spacing w:line="259" w:lineRule="auto"/>
        <w:ind w:left="720"/>
        <w:rPr>
          <w:rFonts w:eastAsia="Verdana" w:cs="Verdana"/>
          <w:color w:val="000000"/>
          <w:sz w:val="22"/>
          <w:szCs w:val="22"/>
        </w:rPr>
      </w:pPr>
      <w:r>
        <w:rPr>
          <w:rFonts w:eastAsia="Verdana" w:cs="Verdana"/>
          <w:color w:val="000000"/>
          <w:sz w:val="22"/>
          <w:szCs w:val="22"/>
        </w:rPr>
        <w:t xml:space="preserve">En 2024, nous avons connu une croissance régulière de notre groupe, notamment grâce aux publications publiques via les canaux CECA de l'ICOM sur Instagram et Facebook. </w:t>
      </w:r>
    </w:p>
    <w:p w:rsidR="0083050C" w:rsidRDefault="00F331C4">
      <w:pPr>
        <w:widowControl/>
        <w:pBdr>
          <w:top w:val="nil"/>
          <w:left w:val="nil"/>
          <w:bottom w:val="nil"/>
          <w:right w:val="nil"/>
          <w:between w:val="nil"/>
        </w:pBdr>
        <w:spacing w:line="259" w:lineRule="auto"/>
        <w:ind w:left="720"/>
        <w:rPr>
          <w:rFonts w:eastAsia="Verdana" w:cs="Verdana"/>
          <w:color w:val="000000"/>
          <w:sz w:val="22"/>
          <w:szCs w:val="22"/>
        </w:rPr>
      </w:pPr>
      <w:r>
        <w:rPr>
          <w:rFonts w:eastAsia="Verdana" w:cs="Verdana"/>
          <w:color w:val="000000"/>
          <w:sz w:val="22"/>
          <w:szCs w:val="22"/>
        </w:rPr>
        <w:t>En tant que coordinatrice, j'ai élaboré un pro</w:t>
      </w:r>
      <w:r>
        <w:rPr>
          <w:rFonts w:eastAsia="Verdana" w:cs="Verdana"/>
          <w:color w:val="000000"/>
          <w:sz w:val="22"/>
          <w:szCs w:val="22"/>
        </w:rPr>
        <w:t xml:space="preserve">gramme à l'avance avec des dates et des sujets, afin que tous les collègues puissent planifier leur participation. </w:t>
      </w:r>
    </w:p>
    <w:p w:rsidR="0083050C" w:rsidRDefault="00F331C4">
      <w:pPr>
        <w:widowControl/>
        <w:pBdr>
          <w:top w:val="nil"/>
          <w:left w:val="nil"/>
          <w:bottom w:val="nil"/>
          <w:right w:val="nil"/>
          <w:between w:val="nil"/>
        </w:pBdr>
        <w:spacing w:line="259" w:lineRule="auto"/>
        <w:ind w:left="720"/>
        <w:rPr>
          <w:rFonts w:eastAsia="Verdana" w:cs="Verdana"/>
          <w:color w:val="000000"/>
          <w:sz w:val="22"/>
          <w:szCs w:val="22"/>
        </w:rPr>
      </w:pPr>
      <w:r>
        <w:rPr>
          <w:rFonts w:eastAsia="Verdana" w:cs="Verdana"/>
          <w:color w:val="000000"/>
          <w:sz w:val="22"/>
          <w:szCs w:val="22"/>
        </w:rPr>
        <w:t>Tous les nouveaux membres reçoivent une invitation de bienvenue avec une description du groupe et de la manière dont nous pouvons collaborer</w:t>
      </w:r>
      <w:r>
        <w:rPr>
          <w:rFonts w:eastAsia="Verdana" w:cs="Verdana"/>
          <w:color w:val="000000"/>
          <w:sz w:val="22"/>
          <w:szCs w:val="22"/>
        </w:rPr>
        <w:t xml:space="preserve"> (par exemple, Whatsapp). Le groupe est un lieu d'échange animé sur des sujets variés. </w:t>
      </w:r>
    </w:p>
    <w:p w:rsidR="0083050C" w:rsidRDefault="0083050C">
      <w:pPr>
        <w:widowControl/>
        <w:pBdr>
          <w:top w:val="nil"/>
          <w:left w:val="nil"/>
          <w:bottom w:val="nil"/>
          <w:right w:val="nil"/>
          <w:between w:val="nil"/>
        </w:pBdr>
        <w:spacing w:line="259" w:lineRule="auto"/>
        <w:ind w:left="720"/>
        <w:rPr>
          <w:rFonts w:eastAsia="Verdana" w:cs="Verdana"/>
          <w:color w:val="000000"/>
          <w:sz w:val="22"/>
          <w:szCs w:val="22"/>
        </w:rPr>
      </w:pPr>
    </w:p>
    <w:p w:rsidR="0083050C" w:rsidRDefault="00F331C4">
      <w:pPr>
        <w:widowControl/>
        <w:pBdr>
          <w:top w:val="nil"/>
          <w:left w:val="nil"/>
          <w:bottom w:val="nil"/>
          <w:right w:val="nil"/>
          <w:between w:val="nil"/>
        </w:pBdr>
        <w:spacing w:after="160" w:line="259" w:lineRule="auto"/>
        <w:ind w:left="720"/>
        <w:rPr>
          <w:rFonts w:eastAsia="Verdana" w:cs="Verdana"/>
          <w:color w:val="000000"/>
          <w:sz w:val="22"/>
          <w:szCs w:val="22"/>
        </w:rPr>
      </w:pPr>
      <w:r>
        <w:rPr>
          <w:rFonts w:eastAsia="Verdana" w:cs="Verdana"/>
          <w:color w:val="000000"/>
          <w:sz w:val="22"/>
          <w:szCs w:val="22"/>
        </w:rPr>
        <w:t>En 2024, nous nous sommes concentrés sur des sujets importants et avons eu un grand engagement et des échanges sur des thèmes tels que : comment intégrer les jeunes da</w:t>
      </w:r>
      <w:r>
        <w:rPr>
          <w:rFonts w:eastAsia="Verdana" w:cs="Verdana"/>
          <w:color w:val="000000"/>
          <w:sz w:val="22"/>
          <w:szCs w:val="22"/>
        </w:rPr>
        <w:t xml:space="preserve">ns les musées, pourquoi y a-t-il plus de femmes que d'hommes travaillant dans l'éducation muséale, comment notre travail va-t-il changer grâce à l'intelligence artificielle. </w:t>
      </w:r>
    </w:p>
    <w:p w:rsidR="0083050C" w:rsidRDefault="00F331C4">
      <w:pPr>
        <w:pStyle w:val="Titre1"/>
        <w:rPr>
          <w:sz w:val="40"/>
          <w:szCs w:val="40"/>
        </w:rPr>
      </w:pPr>
      <w:bookmarkStart w:id="2" w:name="_heading=h.1fob9te" w:colFirst="0" w:colLast="0"/>
      <w:bookmarkEnd w:id="2"/>
      <w:r>
        <w:rPr>
          <w:sz w:val="40"/>
          <w:szCs w:val="40"/>
        </w:rPr>
        <w:t>Thèmes principaux du SIG</w:t>
      </w:r>
    </w:p>
    <w:p w:rsidR="0083050C" w:rsidRDefault="00F331C4">
      <w:pPr>
        <w:widowControl/>
        <w:numPr>
          <w:ilvl w:val="0"/>
          <w:numId w:val="3"/>
        </w:numPr>
        <w:spacing w:line="259" w:lineRule="auto"/>
        <w:rPr>
          <w:rFonts w:hint="eastAsia"/>
          <w:sz w:val="22"/>
          <w:szCs w:val="22"/>
        </w:rPr>
      </w:pPr>
      <w:r>
        <w:rPr>
          <w:sz w:val="22"/>
          <w:szCs w:val="22"/>
        </w:rPr>
        <w:t>Formations et compétences pour les éducateurs de musée</w:t>
      </w:r>
    </w:p>
    <w:p w:rsidR="0083050C" w:rsidRDefault="00F331C4">
      <w:pPr>
        <w:widowControl/>
        <w:numPr>
          <w:ilvl w:val="0"/>
          <w:numId w:val="3"/>
        </w:numPr>
        <w:spacing w:line="259" w:lineRule="auto"/>
        <w:rPr>
          <w:rFonts w:hint="eastAsia"/>
          <w:sz w:val="22"/>
          <w:szCs w:val="22"/>
        </w:rPr>
      </w:pPr>
      <w:r>
        <w:rPr>
          <w:sz w:val="22"/>
          <w:szCs w:val="22"/>
        </w:rPr>
        <w:t>D</w:t>
      </w:r>
      <w:r>
        <w:rPr>
          <w:sz w:val="22"/>
          <w:szCs w:val="22"/>
        </w:rPr>
        <w:t>escription de l'emploi</w:t>
      </w:r>
    </w:p>
    <w:p w:rsidR="0083050C" w:rsidRDefault="00F331C4">
      <w:pPr>
        <w:widowControl/>
        <w:numPr>
          <w:ilvl w:val="0"/>
          <w:numId w:val="3"/>
        </w:numPr>
        <w:spacing w:line="259" w:lineRule="auto"/>
        <w:rPr>
          <w:rFonts w:hint="eastAsia"/>
          <w:sz w:val="22"/>
          <w:szCs w:val="22"/>
        </w:rPr>
      </w:pPr>
      <w:r>
        <w:rPr>
          <w:sz w:val="22"/>
          <w:szCs w:val="22"/>
        </w:rPr>
        <w:t>Contrats et rémunérations équitables pour les éducateurs de musée</w:t>
      </w:r>
    </w:p>
    <w:p w:rsidR="0083050C" w:rsidRDefault="00F331C4">
      <w:pPr>
        <w:widowControl/>
        <w:numPr>
          <w:ilvl w:val="0"/>
          <w:numId w:val="3"/>
        </w:numPr>
        <w:spacing w:line="259" w:lineRule="auto"/>
        <w:rPr>
          <w:rFonts w:hint="eastAsia"/>
          <w:sz w:val="22"/>
          <w:szCs w:val="22"/>
        </w:rPr>
      </w:pPr>
      <w:r>
        <w:rPr>
          <w:sz w:val="22"/>
          <w:szCs w:val="22"/>
        </w:rPr>
        <w:t>Inclusion et collaboration au sein des institutions</w:t>
      </w:r>
    </w:p>
    <w:p w:rsidR="0083050C" w:rsidRDefault="00F331C4">
      <w:pPr>
        <w:widowControl/>
        <w:numPr>
          <w:ilvl w:val="0"/>
          <w:numId w:val="3"/>
        </w:numPr>
        <w:spacing w:line="259" w:lineRule="auto"/>
        <w:rPr>
          <w:rFonts w:hint="eastAsia"/>
          <w:sz w:val="22"/>
          <w:szCs w:val="22"/>
        </w:rPr>
      </w:pPr>
      <w:r>
        <w:rPr>
          <w:sz w:val="22"/>
          <w:szCs w:val="22"/>
        </w:rPr>
        <w:t>Visibilité de notre travail à l'extérieur de l'institution</w:t>
      </w:r>
    </w:p>
    <w:p w:rsidR="0083050C" w:rsidRDefault="00F331C4">
      <w:pPr>
        <w:widowControl/>
        <w:numPr>
          <w:ilvl w:val="0"/>
          <w:numId w:val="3"/>
        </w:numPr>
        <w:spacing w:line="259" w:lineRule="auto"/>
        <w:rPr>
          <w:rFonts w:hint="eastAsia"/>
          <w:sz w:val="22"/>
          <w:szCs w:val="22"/>
        </w:rPr>
      </w:pPr>
      <w:r>
        <w:rPr>
          <w:sz w:val="22"/>
          <w:szCs w:val="22"/>
        </w:rPr>
        <w:t>Organisation et administration des équipes d'éducateurs</w:t>
      </w:r>
    </w:p>
    <w:p w:rsidR="0083050C" w:rsidRDefault="00F331C4">
      <w:pPr>
        <w:widowControl/>
        <w:numPr>
          <w:ilvl w:val="0"/>
          <w:numId w:val="3"/>
        </w:numPr>
        <w:spacing w:after="160" w:line="259" w:lineRule="auto"/>
        <w:rPr>
          <w:rFonts w:hint="eastAsia"/>
          <w:sz w:val="22"/>
          <w:szCs w:val="22"/>
        </w:rPr>
      </w:pPr>
      <w:r>
        <w:rPr>
          <w:sz w:val="22"/>
          <w:szCs w:val="22"/>
        </w:rPr>
        <w:t>Les éducateurs en réseau</w:t>
      </w:r>
    </w:p>
    <w:p w:rsidR="0083050C" w:rsidRDefault="00F331C4">
      <w:pPr>
        <w:pStyle w:val="Titre1"/>
        <w:rPr>
          <w:sz w:val="40"/>
          <w:szCs w:val="40"/>
        </w:rPr>
      </w:pPr>
      <w:bookmarkStart w:id="3" w:name="_heading=h.3znysh7" w:colFirst="0" w:colLast="0"/>
      <w:bookmarkEnd w:id="3"/>
      <w:r>
        <w:rPr>
          <w:sz w:val="40"/>
          <w:szCs w:val="40"/>
        </w:rPr>
        <w:t>Les membres</w:t>
      </w:r>
    </w:p>
    <w:p w:rsidR="0083050C" w:rsidRDefault="00F331C4">
      <w:pPr>
        <w:widowControl/>
        <w:spacing w:line="259" w:lineRule="auto"/>
        <w:rPr>
          <w:rFonts w:hint="eastAsia"/>
          <w:sz w:val="22"/>
          <w:szCs w:val="22"/>
        </w:rPr>
      </w:pPr>
      <w:r>
        <w:rPr>
          <w:sz w:val="22"/>
          <w:szCs w:val="22"/>
        </w:rPr>
        <w:t>159 membres (07/12/2024) ; 31 nouveaux membres</w:t>
      </w:r>
    </w:p>
    <w:p w:rsidR="0083050C" w:rsidRDefault="00F331C4">
      <w:pPr>
        <w:widowControl/>
        <w:numPr>
          <w:ilvl w:val="1"/>
          <w:numId w:val="1"/>
        </w:numPr>
        <w:spacing w:line="259" w:lineRule="auto"/>
        <w:rPr>
          <w:rFonts w:hint="eastAsia"/>
          <w:b/>
          <w:sz w:val="22"/>
          <w:szCs w:val="22"/>
        </w:rPr>
      </w:pPr>
      <w:r>
        <w:rPr>
          <w:sz w:val="22"/>
          <w:szCs w:val="22"/>
        </w:rPr>
        <w:t>Afrique : 6 membres(+2)</w:t>
      </w:r>
    </w:p>
    <w:p w:rsidR="0083050C" w:rsidRDefault="00F331C4">
      <w:pPr>
        <w:widowControl/>
        <w:numPr>
          <w:ilvl w:val="1"/>
          <w:numId w:val="1"/>
        </w:numPr>
        <w:spacing w:line="259" w:lineRule="auto"/>
        <w:rPr>
          <w:rFonts w:hint="eastAsia"/>
          <w:b/>
          <w:sz w:val="22"/>
          <w:szCs w:val="22"/>
        </w:rPr>
      </w:pPr>
      <w:r>
        <w:rPr>
          <w:sz w:val="22"/>
          <w:szCs w:val="22"/>
        </w:rPr>
        <w:t>Asie : 20 membres (+5)</w:t>
      </w:r>
    </w:p>
    <w:p w:rsidR="0083050C" w:rsidRDefault="00F331C4">
      <w:pPr>
        <w:widowControl/>
        <w:numPr>
          <w:ilvl w:val="1"/>
          <w:numId w:val="1"/>
        </w:numPr>
        <w:spacing w:line="259" w:lineRule="auto"/>
        <w:rPr>
          <w:rFonts w:hint="eastAsia"/>
          <w:b/>
          <w:sz w:val="22"/>
          <w:szCs w:val="22"/>
        </w:rPr>
      </w:pPr>
      <w:r>
        <w:rPr>
          <w:sz w:val="22"/>
          <w:szCs w:val="22"/>
        </w:rPr>
        <w:t>Australie : 1 membre</w:t>
      </w:r>
    </w:p>
    <w:p w:rsidR="0083050C" w:rsidRDefault="00F331C4">
      <w:pPr>
        <w:widowControl/>
        <w:numPr>
          <w:ilvl w:val="1"/>
          <w:numId w:val="1"/>
        </w:numPr>
        <w:spacing w:line="259" w:lineRule="auto"/>
        <w:rPr>
          <w:rFonts w:hint="eastAsia"/>
          <w:b/>
          <w:sz w:val="22"/>
          <w:szCs w:val="22"/>
        </w:rPr>
      </w:pPr>
      <w:r>
        <w:rPr>
          <w:sz w:val="22"/>
          <w:szCs w:val="22"/>
        </w:rPr>
        <w:lastRenderedPageBreak/>
        <w:t>Europe : 81 membres (+13)</w:t>
      </w:r>
    </w:p>
    <w:p w:rsidR="0083050C" w:rsidRDefault="00F331C4">
      <w:pPr>
        <w:widowControl/>
        <w:numPr>
          <w:ilvl w:val="1"/>
          <w:numId w:val="1"/>
        </w:numPr>
        <w:spacing w:line="259" w:lineRule="auto"/>
        <w:rPr>
          <w:rFonts w:hint="eastAsia"/>
          <w:b/>
          <w:sz w:val="22"/>
          <w:szCs w:val="22"/>
        </w:rPr>
      </w:pPr>
      <w:r>
        <w:rPr>
          <w:sz w:val="22"/>
          <w:szCs w:val="22"/>
        </w:rPr>
        <w:t>Middeleast : 22 membres (+5)</w:t>
      </w:r>
    </w:p>
    <w:p w:rsidR="0083050C" w:rsidRDefault="00F331C4">
      <w:pPr>
        <w:widowControl/>
        <w:numPr>
          <w:ilvl w:val="1"/>
          <w:numId w:val="1"/>
        </w:numPr>
        <w:spacing w:line="259" w:lineRule="auto"/>
        <w:rPr>
          <w:rFonts w:hint="eastAsia"/>
          <w:b/>
          <w:sz w:val="22"/>
          <w:szCs w:val="22"/>
        </w:rPr>
      </w:pPr>
      <w:r>
        <w:rPr>
          <w:sz w:val="22"/>
          <w:szCs w:val="22"/>
        </w:rPr>
        <w:t>Amérique du Nord : 9 membres (+1)</w:t>
      </w:r>
    </w:p>
    <w:p w:rsidR="0083050C" w:rsidRDefault="00F331C4">
      <w:pPr>
        <w:widowControl/>
        <w:numPr>
          <w:ilvl w:val="1"/>
          <w:numId w:val="1"/>
        </w:numPr>
        <w:spacing w:line="259" w:lineRule="auto"/>
        <w:rPr>
          <w:rFonts w:hint="eastAsia"/>
          <w:b/>
          <w:sz w:val="22"/>
          <w:szCs w:val="22"/>
        </w:rPr>
      </w:pPr>
      <w:r>
        <w:rPr>
          <w:sz w:val="22"/>
          <w:szCs w:val="22"/>
        </w:rPr>
        <w:t>Amérique du Sud</w:t>
      </w:r>
      <w:r>
        <w:rPr>
          <w:sz w:val="22"/>
          <w:szCs w:val="22"/>
        </w:rPr>
        <w:t xml:space="preserve"> : 19 membres (+5)</w:t>
      </w:r>
    </w:p>
    <w:p w:rsidR="0083050C" w:rsidRDefault="00F331C4">
      <w:pPr>
        <w:widowControl/>
        <w:spacing w:line="259" w:lineRule="auto"/>
        <w:rPr>
          <w:rFonts w:hint="eastAsia"/>
          <w:sz w:val="22"/>
          <w:szCs w:val="22"/>
        </w:rPr>
      </w:pPr>
      <w:r>
        <w:rPr>
          <w:sz w:val="22"/>
          <w:szCs w:val="22"/>
        </w:rPr>
        <w:t xml:space="preserve">Membres du conseil d'administration participant : </w:t>
      </w:r>
    </w:p>
    <w:p w:rsidR="0083050C" w:rsidRDefault="00F331C4">
      <w:pPr>
        <w:widowControl/>
        <w:numPr>
          <w:ilvl w:val="0"/>
          <w:numId w:val="5"/>
        </w:numPr>
        <w:spacing w:line="259" w:lineRule="auto"/>
        <w:rPr>
          <w:rFonts w:hint="eastAsia"/>
          <w:b/>
          <w:sz w:val="22"/>
          <w:szCs w:val="22"/>
        </w:rPr>
      </w:pPr>
      <w:r>
        <w:rPr>
          <w:sz w:val="22"/>
          <w:szCs w:val="22"/>
        </w:rPr>
        <w:t>Wencke Maderbacher (Coordinateur européen)</w:t>
      </w:r>
    </w:p>
    <w:p w:rsidR="0083050C" w:rsidRDefault="00F331C4">
      <w:pPr>
        <w:widowControl/>
        <w:numPr>
          <w:ilvl w:val="0"/>
          <w:numId w:val="5"/>
        </w:numPr>
        <w:spacing w:line="259" w:lineRule="auto"/>
        <w:rPr>
          <w:rFonts w:hint="eastAsia"/>
          <w:b/>
          <w:sz w:val="22"/>
          <w:szCs w:val="22"/>
        </w:rPr>
      </w:pPr>
      <w:r>
        <w:rPr>
          <w:sz w:val="22"/>
          <w:szCs w:val="22"/>
        </w:rPr>
        <w:t>Angela Mendes (Webadministratrice)</w:t>
      </w:r>
    </w:p>
    <w:p w:rsidR="0083050C" w:rsidRDefault="00F331C4">
      <w:pPr>
        <w:widowControl/>
        <w:numPr>
          <w:ilvl w:val="0"/>
          <w:numId w:val="5"/>
        </w:numPr>
        <w:spacing w:line="259" w:lineRule="auto"/>
        <w:rPr>
          <w:rFonts w:hint="eastAsia"/>
          <w:b/>
          <w:sz w:val="22"/>
          <w:szCs w:val="22"/>
        </w:rPr>
      </w:pPr>
      <w:r>
        <w:rPr>
          <w:sz w:val="22"/>
          <w:szCs w:val="22"/>
        </w:rPr>
        <w:t>Rosa Maria Hervas (Coordinatrice de recherche &amp; NC Espagne)</w:t>
      </w:r>
    </w:p>
    <w:p w:rsidR="0083050C" w:rsidRDefault="00F331C4">
      <w:pPr>
        <w:widowControl/>
        <w:spacing w:line="259" w:lineRule="auto"/>
        <w:rPr>
          <w:rFonts w:hint="eastAsia"/>
          <w:sz w:val="22"/>
          <w:szCs w:val="22"/>
        </w:rPr>
      </w:pPr>
      <w:r>
        <w:rPr>
          <w:sz w:val="22"/>
          <w:szCs w:val="22"/>
        </w:rPr>
        <w:t xml:space="preserve">Correspondants nationaux participants : </w:t>
      </w:r>
    </w:p>
    <w:p w:rsidR="0083050C" w:rsidRDefault="00F331C4">
      <w:pPr>
        <w:widowControl/>
        <w:numPr>
          <w:ilvl w:val="0"/>
          <w:numId w:val="4"/>
        </w:numPr>
        <w:spacing w:line="259" w:lineRule="auto"/>
        <w:rPr>
          <w:rFonts w:hint="eastAsia"/>
          <w:b/>
          <w:sz w:val="22"/>
          <w:szCs w:val="22"/>
        </w:rPr>
      </w:pPr>
      <w:r>
        <w:rPr>
          <w:sz w:val="22"/>
          <w:szCs w:val="22"/>
        </w:rPr>
        <w:t>Eda Göknar (Turquie)</w:t>
      </w:r>
    </w:p>
    <w:p w:rsidR="0083050C" w:rsidRDefault="00F331C4">
      <w:pPr>
        <w:widowControl/>
        <w:numPr>
          <w:ilvl w:val="0"/>
          <w:numId w:val="4"/>
        </w:numPr>
        <w:spacing w:line="259" w:lineRule="auto"/>
        <w:rPr>
          <w:rFonts w:hint="eastAsia"/>
          <w:b/>
          <w:sz w:val="22"/>
          <w:szCs w:val="22"/>
        </w:rPr>
      </w:pPr>
      <w:r>
        <w:rPr>
          <w:sz w:val="22"/>
          <w:szCs w:val="22"/>
        </w:rPr>
        <w:t>Rakel Pétursdóttir (Île)</w:t>
      </w:r>
    </w:p>
    <w:p w:rsidR="0083050C" w:rsidRDefault="00F331C4">
      <w:pPr>
        <w:widowControl/>
        <w:numPr>
          <w:ilvl w:val="0"/>
          <w:numId w:val="4"/>
        </w:numPr>
        <w:spacing w:line="259" w:lineRule="auto"/>
        <w:rPr>
          <w:rFonts w:hint="eastAsia"/>
          <w:b/>
          <w:sz w:val="22"/>
          <w:szCs w:val="22"/>
        </w:rPr>
      </w:pPr>
      <w:r>
        <w:rPr>
          <w:sz w:val="22"/>
          <w:szCs w:val="22"/>
        </w:rPr>
        <w:t>Jenny Siung (Irlande)</w:t>
      </w:r>
    </w:p>
    <w:p w:rsidR="0083050C" w:rsidRDefault="00F331C4">
      <w:pPr>
        <w:widowControl/>
        <w:numPr>
          <w:ilvl w:val="0"/>
          <w:numId w:val="4"/>
        </w:numPr>
        <w:spacing w:line="259" w:lineRule="auto"/>
        <w:rPr>
          <w:rFonts w:hint="eastAsia"/>
          <w:b/>
          <w:sz w:val="22"/>
          <w:szCs w:val="22"/>
        </w:rPr>
      </w:pPr>
      <w:r>
        <w:rPr>
          <w:sz w:val="22"/>
          <w:szCs w:val="22"/>
        </w:rPr>
        <w:t>Ani Nazaryan (Arménie)</w:t>
      </w:r>
    </w:p>
    <w:p w:rsidR="0083050C" w:rsidRDefault="00F331C4">
      <w:pPr>
        <w:widowControl/>
        <w:numPr>
          <w:ilvl w:val="0"/>
          <w:numId w:val="4"/>
        </w:numPr>
        <w:spacing w:line="259" w:lineRule="auto"/>
        <w:rPr>
          <w:rFonts w:hint="eastAsia"/>
          <w:b/>
          <w:sz w:val="22"/>
          <w:szCs w:val="22"/>
        </w:rPr>
      </w:pPr>
      <w:r>
        <w:rPr>
          <w:sz w:val="22"/>
          <w:szCs w:val="22"/>
        </w:rPr>
        <w:t>Hannah Forssell (Finlande)</w:t>
      </w:r>
    </w:p>
    <w:p w:rsidR="0083050C" w:rsidRDefault="00F331C4">
      <w:pPr>
        <w:widowControl/>
        <w:numPr>
          <w:ilvl w:val="0"/>
          <w:numId w:val="4"/>
        </w:numPr>
        <w:spacing w:line="259" w:lineRule="auto"/>
        <w:rPr>
          <w:rFonts w:hint="eastAsia"/>
          <w:b/>
          <w:sz w:val="22"/>
          <w:szCs w:val="22"/>
        </w:rPr>
      </w:pPr>
      <w:r>
        <w:rPr>
          <w:sz w:val="22"/>
          <w:szCs w:val="22"/>
        </w:rPr>
        <w:t>Stéphanie Masuy (Belgique)</w:t>
      </w:r>
    </w:p>
    <w:p w:rsidR="0083050C" w:rsidRDefault="0083050C">
      <w:pPr>
        <w:widowControl/>
        <w:spacing w:after="160" w:line="259" w:lineRule="auto"/>
        <w:rPr>
          <w:rFonts w:hint="eastAsia"/>
          <w:b/>
          <w:sz w:val="22"/>
          <w:szCs w:val="22"/>
        </w:rPr>
      </w:pPr>
    </w:p>
    <w:p w:rsidR="0083050C" w:rsidRDefault="00F331C4">
      <w:pPr>
        <w:pStyle w:val="Titre1"/>
        <w:rPr>
          <w:sz w:val="40"/>
          <w:szCs w:val="40"/>
        </w:rPr>
      </w:pPr>
      <w:bookmarkStart w:id="4" w:name="_heading=h.2et92p0" w:colFirst="0" w:colLast="0"/>
      <w:bookmarkEnd w:id="4"/>
      <w:r>
        <w:rPr>
          <w:sz w:val="40"/>
          <w:szCs w:val="40"/>
        </w:rPr>
        <w:t>Activités 202 4</w:t>
      </w:r>
    </w:p>
    <w:p w:rsidR="0083050C" w:rsidRDefault="0083050C">
      <w:pPr>
        <w:widowControl/>
        <w:spacing w:line="259" w:lineRule="auto"/>
        <w:rPr>
          <w:rFonts w:hint="eastAsia"/>
          <w:sz w:val="22"/>
          <w:szCs w:val="22"/>
        </w:rPr>
      </w:pPr>
    </w:p>
    <w:p w:rsidR="0083050C" w:rsidRDefault="00F331C4">
      <w:pPr>
        <w:widowControl/>
        <w:spacing w:line="259" w:lineRule="auto"/>
        <w:rPr>
          <w:rFonts w:hint="eastAsia"/>
          <w:sz w:val="22"/>
          <w:szCs w:val="22"/>
        </w:rPr>
      </w:pPr>
      <w:r>
        <w:rPr>
          <w:sz w:val="22"/>
          <w:szCs w:val="22"/>
        </w:rPr>
        <w:t>17</w:t>
      </w:r>
      <w:r>
        <w:rPr>
          <w:sz w:val="22"/>
          <w:szCs w:val="22"/>
          <w:vertAlign w:val="superscript"/>
        </w:rPr>
        <w:t>th</w:t>
      </w:r>
      <w:r>
        <w:rPr>
          <w:sz w:val="22"/>
          <w:szCs w:val="22"/>
        </w:rPr>
        <w:tab/>
        <w:t xml:space="preserve"> Janvier</w:t>
      </w:r>
    </w:p>
    <w:p w:rsidR="0083050C" w:rsidRDefault="00F331C4">
      <w:pPr>
        <w:widowControl/>
        <w:spacing w:line="259" w:lineRule="auto"/>
        <w:ind w:firstLine="283"/>
        <w:rPr>
          <w:rFonts w:hint="eastAsia"/>
          <w:b/>
          <w:sz w:val="22"/>
          <w:szCs w:val="22"/>
        </w:rPr>
      </w:pPr>
      <w:r>
        <w:rPr>
          <w:b/>
          <w:sz w:val="22"/>
          <w:szCs w:val="22"/>
        </w:rPr>
        <w:t>L'accueil des nouveaux collègues</w:t>
      </w:r>
      <w:r>
        <w:rPr>
          <w:b/>
          <w:sz w:val="22"/>
          <w:szCs w:val="22"/>
        </w:rPr>
        <w:tab/>
      </w:r>
    </w:p>
    <w:p w:rsidR="0083050C" w:rsidRDefault="0083050C">
      <w:pPr>
        <w:widowControl/>
        <w:spacing w:line="259" w:lineRule="auto"/>
        <w:rPr>
          <w:rFonts w:hint="eastAsia"/>
          <w:sz w:val="22"/>
          <w:szCs w:val="22"/>
        </w:rPr>
      </w:pPr>
    </w:p>
    <w:p w:rsidR="0083050C" w:rsidRDefault="00F331C4">
      <w:pPr>
        <w:widowControl/>
        <w:spacing w:line="259" w:lineRule="auto"/>
        <w:rPr>
          <w:rFonts w:hint="eastAsia"/>
          <w:sz w:val="22"/>
          <w:szCs w:val="22"/>
        </w:rPr>
      </w:pPr>
      <w:r>
        <w:rPr>
          <w:sz w:val="22"/>
          <w:szCs w:val="22"/>
        </w:rPr>
        <w:t>22</w:t>
      </w:r>
      <w:r>
        <w:rPr>
          <w:sz w:val="22"/>
          <w:szCs w:val="22"/>
          <w:vertAlign w:val="superscript"/>
        </w:rPr>
        <w:t>nd</w:t>
      </w:r>
      <w:r>
        <w:rPr>
          <w:sz w:val="22"/>
          <w:szCs w:val="22"/>
        </w:rPr>
        <w:tab/>
        <w:t xml:space="preserve"> Février</w:t>
      </w:r>
      <w:r>
        <w:rPr>
          <w:sz w:val="22"/>
          <w:szCs w:val="22"/>
        </w:rPr>
        <w:tab/>
      </w:r>
    </w:p>
    <w:p w:rsidR="0083050C" w:rsidRDefault="00F331C4">
      <w:pPr>
        <w:widowControl/>
        <w:spacing w:line="259" w:lineRule="auto"/>
        <w:ind w:firstLine="283"/>
        <w:rPr>
          <w:rFonts w:hint="eastAsia"/>
          <w:b/>
          <w:sz w:val="22"/>
          <w:szCs w:val="22"/>
        </w:rPr>
      </w:pPr>
      <w:r>
        <w:rPr>
          <w:b/>
          <w:sz w:val="22"/>
          <w:szCs w:val="22"/>
        </w:rPr>
        <w:t xml:space="preserve">Qu'est-ce que le nom ? </w:t>
      </w:r>
    </w:p>
    <w:p w:rsidR="0083050C" w:rsidRDefault="00F331C4">
      <w:pPr>
        <w:widowControl/>
        <w:spacing w:line="259" w:lineRule="auto"/>
        <w:ind w:firstLine="283"/>
        <w:rPr>
          <w:rFonts w:hint="eastAsia"/>
          <w:sz w:val="22"/>
          <w:szCs w:val="22"/>
        </w:rPr>
      </w:pPr>
      <w:r>
        <w:rPr>
          <w:sz w:val="22"/>
          <w:szCs w:val="22"/>
        </w:rPr>
        <w:t xml:space="preserve">Avec l'ancien membre du conseil d'administration Arja Van </w:t>
      </w:r>
    </w:p>
    <w:p w:rsidR="0083050C" w:rsidRDefault="0083050C">
      <w:pPr>
        <w:widowControl/>
        <w:spacing w:line="259" w:lineRule="auto"/>
        <w:rPr>
          <w:rFonts w:hint="eastAsia"/>
          <w:sz w:val="22"/>
          <w:szCs w:val="22"/>
        </w:rPr>
      </w:pPr>
    </w:p>
    <w:p w:rsidR="0083050C" w:rsidRDefault="00F331C4">
      <w:pPr>
        <w:widowControl/>
        <w:spacing w:line="259" w:lineRule="auto"/>
        <w:rPr>
          <w:rFonts w:hint="eastAsia"/>
          <w:sz w:val="22"/>
          <w:szCs w:val="22"/>
        </w:rPr>
      </w:pPr>
      <w:r>
        <w:rPr>
          <w:sz w:val="22"/>
          <w:szCs w:val="22"/>
        </w:rPr>
        <w:t>19</w:t>
      </w:r>
      <w:r>
        <w:rPr>
          <w:sz w:val="22"/>
          <w:szCs w:val="22"/>
          <w:vertAlign w:val="superscript"/>
        </w:rPr>
        <w:t>th</w:t>
      </w:r>
      <w:r>
        <w:rPr>
          <w:sz w:val="22"/>
          <w:szCs w:val="22"/>
        </w:rPr>
        <w:t xml:space="preserve"> Mars</w:t>
      </w:r>
    </w:p>
    <w:p w:rsidR="0083050C" w:rsidRDefault="00F331C4">
      <w:pPr>
        <w:widowControl/>
        <w:spacing w:line="259" w:lineRule="auto"/>
        <w:ind w:firstLine="283"/>
        <w:rPr>
          <w:rFonts w:hint="eastAsia"/>
          <w:sz w:val="22"/>
          <w:szCs w:val="22"/>
        </w:rPr>
      </w:pPr>
      <w:r>
        <w:rPr>
          <w:b/>
          <w:sz w:val="22"/>
          <w:szCs w:val="22"/>
        </w:rPr>
        <w:t>Compétences numériques</w:t>
      </w:r>
    </w:p>
    <w:p w:rsidR="0083050C" w:rsidRDefault="00F331C4">
      <w:pPr>
        <w:widowControl/>
        <w:spacing w:line="259" w:lineRule="auto"/>
        <w:ind w:firstLine="283"/>
        <w:rPr>
          <w:rFonts w:hint="eastAsia"/>
          <w:sz w:val="22"/>
          <w:szCs w:val="22"/>
        </w:rPr>
      </w:pPr>
      <w:r>
        <w:rPr>
          <w:sz w:val="22"/>
          <w:szCs w:val="22"/>
        </w:rPr>
        <w:t>en collaboration avec SIG Young Member et Digital Engagement</w:t>
      </w:r>
    </w:p>
    <w:p w:rsidR="0083050C" w:rsidRDefault="0083050C">
      <w:pPr>
        <w:widowControl/>
        <w:spacing w:line="259" w:lineRule="auto"/>
        <w:rPr>
          <w:rFonts w:hint="eastAsia"/>
          <w:sz w:val="22"/>
          <w:szCs w:val="22"/>
        </w:rPr>
      </w:pPr>
    </w:p>
    <w:p w:rsidR="0083050C" w:rsidRDefault="00F331C4">
      <w:pPr>
        <w:widowControl/>
        <w:spacing w:line="259" w:lineRule="auto"/>
        <w:rPr>
          <w:rFonts w:hint="eastAsia"/>
          <w:sz w:val="22"/>
          <w:szCs w:val="22"/>
        </w:rPr>
      </w:pPr>
      <w:r>
        <w:rPr>
          <w:sz w:val="22"/>
          <w:szCs w:val="22"/>
        </w:rPr>
        <w:t>18</w:t>
      </w:r>
      <w:r>
        <w:rPr>
          <w:sz w:val="22"/>
          <w:szCs w:val="22"/>
        </w:rPr>
        <w:tab/>
        <w:t>avril</w:t>
      </w:r>
      <w:r>
        <w:rPr>
          <w:sz w:val="22"/>
          <w:szCs w:val="22"/>
        </w:rPr>
        <w:tab/>
      </w:r>
    </w:p>
    <w:p w:rsidR="0083050C" w:rsidRDefault="00F331C4">
      <w:pPr>
        <w:widowControl/>
        <w:spacing w:line="259" w:lineRule="auto"/>
        <w:ind w:firstLine="283"/>
        <w:rPr>
          <w:rFonts w:hint="eastAsia"/>
          <w:b/>
          <w:sz w:val="22"/>
          <w:szCs w:val="22"/>
        </w:rPr>
      </w:pPr>
      <w:r>
        <w:rPr>
          <w:b/>
          <w:sz w:val="22"/>
          <w:szCs w:val="22"/>
        </w:rPr>
        <w:t xml:space="preserve">Collaboration avec des partenaires extérieurs </w:t>
      </w:r>
      <w:r>
        <w:rPr>
          <w:b/>
          <w:sz w:val="22"/>
          <w:szCs w:val="22"/>
        </w:rPr>
        <w:tab/>
      </w:r>
    </w:p>
    <w:p w:rsidR="0083050C" w:rsidRDefault="0083050C">
      <w:pPr>
        <w:widowControl/>
        <w:spacing w:line="259" w:lineRule="auto"/>
        <w:rPr>
          <w:rFonts w:hint="eastAsia"/>
          <w:sz w:val="22"/>
          <w:szCs w:val="22"/>
        </w:rPr>
      </w:pPr>
    </w:p>
    <w:p w:rsidR="0083050C" w:rsidRDefault="00F331C4">
      <w:pPr>
        <w:widowControl/>
        <w:spacing w:line="259" w:lineRule="auto"/>
        <w:rPr>
          <w:rFonts w:hint="eastAsia"/>
          <w:sz w:val="22"/>
          <w:szCs w:val="22"/>
        </w:rPr>
      </w:pPr>
      <w:r>
        <w:rPr>
          <w:sz w:val="22"/>
          <w:szCs w:val="22"/>
        </w:rPr>
        <w:t>23</w:t>
      </w:r>
      <w:r>
        <w:rPr>
          <w:sz w:val="22"/>
          <w:szCs w:val="22"/>
          <w:vertAlign w:val="superscript"/>
        </w:rPr>
        <w:t>rd</w:t>
      </w:r>
      <w:r>
        <w:rPr>
          <w:sz w:val="22"/>
          <w:szCs w:val="22"/>
        </w:rPr>
        <w:t xml:space="preserve"> Mai</w:t>
      </w:r>
      <w:r>
        <w:rPr>
          <w:sz w:val="22"/>
          <w:szCs w:val="22"/>
        </w:rPr>
        <w:tab/>
      </w:r>
    </w:p>
    <w:p w:rsidR="0083050C" w:rsidRDefault="00F331C4">
      <w:pPr>
        <w:widowControl/>
        <w:spacing w:line="259" w:lineRule="auto"/>
        <w:ind w:firstLine="283"/>
        <w:rPr>
          <w:rFonts w:hint="eastAsia"/>
          <w:b/>
          <w:sz w:val="22"/>
          <w:szCs w:val="22"/>
        </w:rPr>
      </w:pPr>
      <w:r>
        <w:rPr>
          <w:b/>
          <w:sz w:val="22"/>
          <w:szCs w:val="22"/>
        </w:rPr>
        <w:t>Compétences des éducateurs de mu</w:t>
      </w:r>
      <w:r>
        <w:rPr>
          <w:b/>
          <w:sz w:val="22"/>
          <w:szCs w:val="22"/>
        </w:rPr>
        <w:t xml:space="preserve">sée en dehors du cadre classique </w:t>
      </w:r>
      <w:r>
        <w:rPr>
          <w:b/>
          <w:sz w:val="22"/>
          <w:szCs w:val="22"/>
        </w:rPr>
        <w:tab/>
      </w:r>
    </w:p>
    <w:p w:rsidR="0083050C" w:rsidRDefault="0083050C">
      <w:pPr>
        <w:widowControl/>
        <w:spacing w:line="259" w:lineRule="auto"/>
        <w:rPr>
          <w:rFonts w:hint="eastAsia"/>
          <w:sz w:val="22"/>
          <w:szCs w:val="22"/>
        </w:rPr>
      </w:pPr>
    </w:p>
    <w:p w:rsidR="0083050C" w:rsidRDefault="00F331C4">
      <w:pPr>
        <w:widowControl/>
        <w:spacing w:line="259" w:lineRule="auto"/>
        <w:rPr>
          <w:rFonts w:hint="eastAsia"/>
          <w:sz w:val="22"/>
          <w:szCs w:val="22"/>
        </w:rPr>
      </w:pPr>
      <w:r>
        <w:rPr>
          <w:sz w:val="22"/>
          <w:szCs w:val="22"/>
        </w:rPr>
        <w:t>12</w:t>
      </w:r>
      <w:r>
        <w:rPr>
          <w:sz w:val="22"/>
          <w:szCs w:val="22"/>
          <w:vertAlign w:val="superscript"/>
        </w:rPr>
        <w:t>th</w:t>
      </w:r>
      <w:r>
        <w:rPr>
          <w:sz w:val="22"/>
          <w:szCs w:val="22"/>
        </w:rPr>
        <w:t xml:space="preserve"> Juin</w:t>
      </w:r>
      <w:r>
        <w:rPr>
          <w:sz w:val="22"/>
          <w:szCs w:val="22"/>
        </w:rPr>
        <w:tab/>
        <w:t>(reporté)</w:t>
      </w:r>
    </w:p>
    <w:p w:rsidR="0083050C" w:rsidRDefault="00F331C4">
      <w:pPr>
        <w:widowControl/>
        <w:spacing w:line="259" w:lineRule="auto"/>
        <w:ind w:firstLine="283"/>
        <w:rPr>
          <w:rFonts w:hint="eastAsia"/>
          <w:b/>
          <w:sz w:val="22"/>
          <w:szCs w:val="22"/>
        </w:rPr>
      </w:pPr>
      <w:r>
        <w:rPr>
          <w:b/>
          <w:sz w:val="22"/>
          <w:szCs w:val="22"/>
        </w:rPr>
        <w:t>Publier ou périr - pourquoi la documentation est cruciale pour l'éducation muséale</w:t>
      </w:r>
      <w:r>
        <w:rPr>
          <w:b/>
          <w:sz w:val="22"/>
          <w:szCs w:val="22"/>
        </w:rPr>
        <w:tab/>
      </w:r>
    </w:p>
    <w:p w:rsidR="0083050C" w:rsidRDefault="0083050C">
      <w:pPr>
        <w:widowControl/>
        <w:spacing w:line="259" w:lineRule="auto"/>
        <w:rPr>
          <w:rFonts w:hint="eastAsia"/>
          <w:sz w:val="22"/>
          <w:szCs w:val="22"/>
        </w:rPr>
      </w:pPr>
    </w:p>
    <w:p w:rsidR="0083050C" w:rsidRDefault="00F331C4">
      <w:pPr>
        <w:widowControl/>
        <w:rPr>
          <w:rFonts w:hint="eastAsia"/>
          <w:sz w:val="22"/>
          <w:szCs w:val="22"/>
        </w:rPr>
      </w:pPr>
      <w:r>
        <w:rPr>
          <w:sz w:val="22"/>
          <w:szCs w:val="22"/>
        </w:rPr>
        <w:t>26</w:t>
      </w:r>
      <w:r>
        <w:rPr>
          <w:sz w:val="22"/>
          <w:szCs w:val="22"/>
          <w:vertAlign w:val="superscript"/>
        </w:rPr>
        <w:t>th</w:t>
      </w:r>
      <w:r>
        <w:rPr>
          <w:sz w:val="22"/>
          <w:szCs w:val="22"/>
        </w:rPr>
        <w:t xml:space="preserve"> Septembre</w:t>
      </w:r>
      <w:r>
        <w:rPr>
          <w:sz w:val="22"/>
          <w:szCs w:val="22"/>
        </w:rPr>
        <w:tab/>
      </w:r>
    </w:p>
    <w:p w:rsidR="0083050C" w:rsidRDefault="00F331C4">
      <w:pPr>
        <w:widowControl/>
        <w:ind w:firstLine="283"/>
        <w:rPr>
          <w:rFonts w:hint="eastAsia"/>
          <w:b/>
          <w:sz w:val="22"/>
          <w:szCs w:val="22"/>
        </w:rPr>
      </w:pPr>
      <w:r>
        <w:rPr>
          <w:b/>
          <w:sz w:val="22"/>
          <w:szCs w:val="22"/>
        </w:rPr>
        <w:t>Stages et bénévolat - Des épées à double tranchant</w:t>
      </w:r>
    </w:p>
    <w:p w:rsidR="0083050C" w:rsidRDefault="00F331C4">
      <w:pPr>
        <w:widowControl/>
        <w:ind w:firstLine="5"/>
        <w:rPr>
          <w:rFonts w:hint="eastAsia"/>
          <w:sz w:val="22"/>
          <w:szCs w:val="22"/>
        </w:rPr>
      </w:pPr>
      <w:r>
        <w:rPr>
          <w:sz w:val="22"/>
          <w:szCs w:val="22"/>
        </w:rPr>
        <w:t>Nous examinons le rôle des stages et du bénévola</w:t>
      </w:r>
      <w:r>
        <w:rPr>
          <w:sz w:val="22"/>
          <w:szCs w:val="22"/>
        </w:rPr>
        <w:t>t dans l'éducation muséale, en considérant leurs avantages en termes d'acquisition d'expérience et leurs inconvénients potentiels en termes d'accessibilité et d'exploitation.</w:t>
      </w:r>
    </w:p>
    <w:p w:rsidR="0083050C" w:rsidRDefault="0083050C">
      <w:pPr>
        <w:widowControl/>
        <w:rPr>
          <w:rFonts w:hint="eastAsia"/>
          <w:sz w:val="22"/>
          <w:szCs w:val="22"/>
        </w:rPr>
      </w:pPr>
    </w:p>
    <w:p w:rsidR="0083050C" w:rsidRDefault="00F331C4">
      <w:pPr>
        <w:widowControl/>
        <w:rPr>
          <w:rFonts w:hint="eastAsia"/>
          <w:sz w:val="22"/>
          <w:szCs w:val="22"/>
        </w:rPr>
      </w:pPr>
      <w:r>
        <w:rPr>
          <w:sz w:val="22"/>
          <w:szCs w:val="22"/>
        </w:rPr>
        <w:t>24</w:t>
      </w:r>
      <w:r>
        <w:rPr>
          <w:sz w:val="22"/>
          <w:szCs w:val="22"/>
          <w:vertAlign w:val="superscript"/>
        </w:rPr>
        <w:t>th</w:t>
      </w:r>
      <w:r>
        <w:rPr>
          <w:sz w:val="22"/>
          <w:szCs w:val="22"/>
        </w:rPr>
        <w:t xml:space="preserve"> Octobre</w:t>
      </w:r>
      <w:r>
        <w:rPr>
          <w:sz w:val="22"/>
          <w:szCs w:val="22"/>
        </w:rPr>
        <w:tab/>
      </w:r>
    </w:p>
    <w:p w:rsidR="0083050C" w:rsidRDefault="00F331C4">
      <w:pPr>
        <w:widowControl/>
        <w:rPr>
          <w:rFonts w:hint="eastAsia"/>
          <w:b/>
          <w:sz w:val="22"/>
          <w:szCs w:val="22"/>
        </w:rPr>
      </w:pPr>
      <w:r>
        <w:rPr>
          <w:b/>
          <w:sz w:val="22"/>
          <w:szCs w:val="22"/>
        </w:rPr>
        <w:t xml:space="preserve">Publier ou périr - Pourquoi la documentation est cruciale pour l'éducation muséale </w:t>
      </w:r>
    </w:p>
    <w:p w:rsidR="0083050C" w:rsidRDefault="00F331C4">
      <w:pPr>
        <w:widowControl/>
        <w:rPr>
          <w:rFonts w:hint="eastAsia"/>
          <w:sz w:val="22"/>
          <w:szCs w:val="22"/>
        </w:rPr>
      </w:pPr>
      <w:r>
        <w:rPr>
          <w:sz w:val="22"/>
          <w:szCs w:val="22"/>
        </w:rPr>
        <w:lastRenderedPageBreak/>
        <w:t xml:space="preserve">avec Stéphanie Winzerith, ancienne membre du conseil d'administration et éditrice d'ICOM Education </w:t>
      </w:r>
    </w:p>
    <w:p w:rsidR="0083050C" w:rsidRDefault="00F331C4">
      <w:pPr>
        <w:widowControl/>
        <w:ind w:firstLine="5"/>
        <w:rPr>
          <w:rFonts w:hint="eastAsia"/>
          <w:sz w:val="22"/>
          <w:szCs w:val="22"/>
        </w:rPr>
      </w:pPr>
      <w:r>
        <w:rPr>
          <w:sz w:val="22"/>
          <w:szCs w:val="22"/>
        </w:rPr>
        <w:t>Nous explorons l'importance d'une documentation complète dans l'éducatio</w:t>
      </w:r>
      <w:r>
        <w:rPr>
          <w:sz w:val="22"/>
          <w:szCs w:val="22"/>
        </w:rPr>
        <w:t>n muséale, y compris les meilleures pratiques pour capturer et partager les expériences éducatives, les avantages de la documentation pour la programmation future, et les stratégies pour encourager une culture de documentation cohérente au sein du personne</w:t>
      </w:r>
      <w:r>
        <w:rPr>
          <w:sz w:val="22"/>
          <w:szCs w:val="22"/>
        </w:rPr>
        <w:t>l.</w:t>
      </w:r>
    </w:p>
    <w:p w:rsidR="0083050C" w:rsidRDefault="0083050C">
      <w:pPr>
        <w:widowControl/>
        <w:rPr>
          <w:rFonts w:hint="eastAsia"/>
          <w:sz w:val="22"/>
          <w:szCs w:val="22"/>
        </w:rPr>
      </w:pPr>
    </w:p>
    <w:p w:rsidR="0083050C" w:rsidRDefault="00F331C4">
      <w:pPr>
        <w:widowControl/>
        <w:rPr>
          <w:rFonts w:hint="eastAsia"/>
          <w:sz w:val="22"/>
          <w:szCs w:val="22"/>
        </w:rPr>
      </w:pPr>
      <w:r>
        <w:rPr>
          <w:sz w:val="22"/>
          <w:szCs w:val="22"/>
        </w:rPr>
        <w:t>12</w:t>
      </w:r>
      <w:r>
        <w:rPr>
          <w:sz w:val="22"/>
          <w:szCs w:val="22"/>
          <w:vertAlign w:val="superscript"/>
        </w:rPr>
        <w:t>th</w:t>
      </w:r>
      <w:r>
        <w:rPr>
          <w:sz w:val="22"/>
          <w:szCs w:val="22"/>
        </w:rPr>
        <w:t xml:space="preserve"> Novembre</w:t>
      </w:r>
    </w:p>
    <w:p w:rsidR="0083050C" w:rsidRDefault="00F331C4">
      <w:pPr>
        <w:widowControl/>
        <w:ind w:firstLine="283"/>
        <w:rPr>
          <w:rFonts w:hint="eastAsia"/>
          <w:b/>
          <w:sz w:val="22"/>
          <w:szCs w:val="22"/>
        </w:rPr>
      </w:pPr>
      <w:r>
        <w:rPr>
          <w:b/>
          <w:sz w:val="22"/>
          <w:szCs w:val="22"/>
        </w:rPr>
        <w:t xml:space="preserve">Un bon leadership dans l'éducation muséale </w:t>
      </w:r>
    </w:p>
    <w:p w:rsidR="0083050C" w:rsidRDefault="00F331C4">
      <w:pPr>
        <w:widowControl/>
        <w:ind w:firstLine="283"/>
        <w:rPr>
          <w:rFonts w:hint="eastAsia"/>
          <w:sz w:val="22"/>
          <w:szCs w:val="22"/>
        </w:rPr>
      </w:pPr>
      <w:r>
        <w:rPr>
          <w:sz w:val="22"/>
          <w:szCs w:val="22"/>
        </w:rPr>
        <w:t>Quels sont nos souhaits ? De quoi nos collaborateurs ont-ils besoin ? Du collègue au leader</w:t>
      </w:r>
    </w:p>
    <w:p w:rsidR="0083050C" w:rsidRDefault="00F331C4">
      <w:pPr>
        <w:widowControl/>
        <w:ind w:firstLine="5"/>
        <w:rPr>
          <w:rFonts w:hint="eastAsia"/>
          <w:sz w:val="22"/>
          <w:szCs w:val="22"/>
        </w:rPr>
      </w:pPr>
      <w:r>
        <w:rPr>
          <w:sz w:val="22"/>
          <w:szCs w:val="22"/>
        </w:rPr>
        <w:t xml:space="preserve">Nous explorerons les qualités d'un leadership efficace dans l'éducation muséale, nous discuterons de la transition du statut de collègue à celui de leader, et nous identifierons le soutien et les ressources nécessaires pour favoriser un leadership fort au </w:t>
      </w:r>
      <w:r>
        <w:rPr>
          <w:sz w:val="22"/>
          <w:szCs w:val="22"/>
        </w:rPr>
        <w:t>sein des équipes.</w:t>
      </w:r>
    </w:p>
    <w:p w:rsidR="0083050C" w:rsidRDefault="0083050C">
      <w:pPr>
        <w:widowControl/>
        <w:rPr>
          <w:rFonts w:hint="eastAsia"/>
          <w:sz w:val="22"/>
          <w:szCs w:val="22"/>
        </w:rPr>
      </w:pPr>
    </w:p>
    <w:p w:rsidR="0083050C" w:rsidRDefault="00F331C4">
      <w:pPr>
        <w:widowControl/>
        <w:rPr>
          <w:rFonts w:hint="eastAsia"/>
          <w:sz w:val="22"/>
          <w:szCs w:val="22"/>
        </w:rPr>
      </w:pPr>
      <w:r>
        <w:rPr>
          <w:sz w:val="22"/>
          <w:szCs w:val="22"/>
        </w:rPr>
        <w:t>19</w:t>
      </w:r>
      <w:r>
        <w:rPr>
          <w:sz w:val="22"/>
          <w:szCs w:val="22"/>
          <w:vertAlign w:val="superscript"/>
        </w:rPr>
        <w:t>th</w:t>
      </w:r>
      <w:r>
        <w:rPr>
          <w:sz w:val="22"/>
          <w:szCs w:val="22"/>
        </w:rPr>
        <w:t xml:space="preserve"> Novembre</w:t>
      </w:r>
    </w:p>
    <w:p w:rsidR="0083050C" w:rsidRDefault="00F331C4">
      <w:pPr>
        <w:widowControl/>
        <w:rPr>
          <w:rFonts w:hint="eastAsia"/>
          <w:b/>
          <w:sz w:val="22"/>
          <w:szCs w:val="22"/>
        </w:rPr>
      </w:pPr>
      <w:r>
        <w:rPr>
          <w:b/>
          <w:sz w:val="22"/>
          <w:szCs w:val="22"/>
        </w:rPr>
        <w:t>Renforcer l'autonomie des éducateurs de musée. Des solutions par les pairs pour aborder des sujets difficiles</w:t>
      </w:r>
    </w:p>
    <w:p w:rsidR="0083050C" w:rsidRDefault="00F331C4">
      <w:pPr>
        <w:widowControl/>
        <w:ind w:firstLine="283"/>
        <w:rPr>
          <w:rFonts w:hint="eastAsia"/>
          <w:sz w:val="22"/>
          <w:szCs w:val="22"/>
        </w:rPr>
      </w:pPr>
      <w:r>
        <w:rPr>
          <w:sz w:val="22"/>
          <w:szCs w:val="22"/>
        </w:rPr>
        <w:t>Susan Rowe &amp; Wencke Maderbacher</w:t>
      </w:r>
    </w:p>
    <w:p w:rsidR="0083050C" w:rsidRDefault="00F331C4">
      <w:pPr>
        <w:widowControl/>
        <w:ind w:firstLine="283"/>
        <w:rPr>
          <w:rFonts w:hint="eastAsia"/>
          <w:sz w:val="22"/>
          <w:szCs w:val="22"/>
        </w:rPr>
      </w:pPr>
      <w:r>
        <w:rPr>
          <w:sz w:val="22"/>
          <w:szCs w:val="22"/>
        </w:rPr>
        <w:t>Atelier LIVE à la conférence annuelle du CECA à Athènes</w:t>
      </w:r>
    </w:p>
    <w:p w:rsidR="0083050C" w:rsidRDefault="00F331C4">
      <w:pPr>
        <w:widowControl/>
        <w:rPr>
          <w:rFonts w:hint="eastAsia"/>
          <w:sz w:val="22"/>
          <w:szCs w:val="22"/>
        </w:rPr>
      </w:pPr>
      <w:r>
        <w:rPr>
          <w:sz w:val="22"/>
          <w:szCs w:val="22"/>
        </w:rPr>
        <w:t xml:space="preserve">En tant qu'éducateurs de </w:t>
      </w:r>
      <w:r>
        <w:rPr>
          <w:sz w:val="22"/>
          <w:szCs w:val="22"/>
        </w:rPr>
        <w:t>musée, nous sommes souvent confrontés à des sujets complexes et sensibles dans nos programmes, qu'il s'agisse de controverses contemporaines ou de questions touchant les communautés marginalisées. Ces discussions peuvent déstabiliser même les éducateurs le</w:t>
      </w:r>
      <w:r>
        <w:rPr>
          <w:sz w:val="22"/>
          <w:szCs w:val="22"/>
        </w:rPr>
        <w:t>s plus expérimentés, mais elles offrent également de précieuses opportunités d'apprentissage. Dans cet atelier hautement interactif, nous collaborerons pour développer notre boîte à outils afin d'aborder des sujets difficiles avec confiance et sensibilité.</w:t>
      </w:r>
      <w:r>
        <w:rPr>
          <w:sz w:val="22"/>
          <w:szCs w:val="22"/>
        </w:rPr>
        <w:t xml:space="preserve"> Grâce à l'apprentissage entre pairs et à des activités basées sur des scénarios, nous échangerons des stratégies, partagerons des expériences et cocréerons des solutions qui nous aideront à intégrer efficacement des sujets difficiles dans nos visites et n</w:t>
      </w:r>
      <w:r>
        <w:rPr>
          <w:sz w:val="22"/>
          <w:szCs w:val="22"/>
        </w:rPr>
        <w:t>os programmes éducatifs.</w:t>
      </w:r>
    </w:p>
    <w:p w:rsidR="0083050C" w:rsidRDefault="0083050C">
      <w:pPr>
        <w:widowControl/>
        <w:rPr>
          <w:rFonts w:hint="eastAsia"/>
          <w:sz w:val="22"/>
          <w:szCs w:val="22"/>
        </w:rPr>
      </w:pPr>
    </w:p>
    <w:p w:rsidR="0083050C" w:rsidRDefault="00F331C4">
      <w:pPr>
        <w:widowControl/>
        <w:rPr>
          <w:rFonts w:hint="eastAsia"/>
          <w:sz w:val="22"/>
          <w:szCs w:val="22"/>
        </w:rPr>
      </w:pPr>
      <w:r>
        <w:rPr>
          <w:sz w:val="22"/>
          <w:szCs w:val="22"/>
        </w:rPr>
        <w:t>12</w:t>
      </w:r>
      <w:r>
        <w:rPr>
          <w:sz w:val="22"/>
          <w:szCs w:val="22"/>
          <w:vertAlign w:val="superscript"/>
        </w:rPr>
        <w:t>th</w:t>
      </w:r>
      <w:r>
        <w:rPr>
          <w:sz w:val="22"/>
          <w:szCs w:val="22"/>
        </w:rPr>
        <w:t xml:space="preserve"> Décembre</w:t>
      </w:r>
    </w:p>
    <w:p w:rsidR="0083050C" w:rsidRDefault="00F331C4">
      <w:pPr>
        <w:widowControl/>
        <w:ind w:firstLine="283"/>
        <w:rPr>
          <w:rFonts w:hint="eastAsia"/>
          <w:b/>
          <w:sz w:val="22"/>
          <w:szCs w:val="22"/>
        </w:rPr>
      </w:pPr>
      <w:r>
        <w:rPr>
          <w:b/>
          <w:sz w:val="22"/>
          <w:szCs w:val="22"/>
        </w:rPr>
        <w:t xml:space="preserve">Santé mentale et bien-être des éducateurs de musée </w:t>
      </w:r>
    </w:p>
    <w:p w:rsidR="0083050C" w:rsidRDefault="00F331C4">
      <w:pPr>
        <w:widowControl/>
        <w:ind w:firstLine="283"/>
        <w:rPr>
          <w:rFonts w:hint="eastAsia"/>
          <w:sz w:val="22"/>
          <w:szCs w:val="22"/>
        </w:rPr>
      </w:pPr>
      <w:r>
        <w:rPr>
          <w:sz w:val="22"/>
          <w:szCs w:val="22"/>
        </w:rPr>
        <w:t>Avec Maria Kalaridi</w:t>
      </w:r>
    </w:p>
    <w:p w:rsidR="0083050C" w:rsidRDefault="00F331C4">
      <w:pPr>
        <w:widowControl/>
        <w:ind w:firstLine="5"/>
        <w:rPr>
          <w:rFonts w:hint="eastAsia"/>
          <w:sz w:val="22"/>
          <w:szCs w:val="22"/>
        </w:rPr>
      </w:pPr>
      <w:r>
        <w:rPr>
          <w:sz w:val="22"/>
          <w:szCs w:val="22"/>
        </w:rPr>
        <w:t>Nous discutons des facteurs de stress uniques auxquels sont confrontés les éducateurs de musée, partageons des techniques d'autogestion efficace</w:t>
      </w:r>
      <w:r>
        <w:rPr>
          <w:sz w:val="22"/>
          <w:szCs w:val="22"/>
        </w:rPr>
        <w:t xml:space="preserve">s et examinons comment les institutions peuvent créer des environnements favorables qui accordent la priorité à la santé mentale et au bien-être. </w:t>
      </w:r>
    </w:p>
    <w:p w:rsidR="0083050C" w:rsidRDefault="0083050C">
      <w:pPr>
        <w:widowControl/>
        <w:rPr>
          <w:rFonts w:hint="eastAsia"/>
          <w:sz w:val="22"/>
          <w:szCs w:val="22"/>
        </w:rPr>
      </w:pPr>
    </w:p>
    <w:p w:rsidR="0083050C" w:rsidRDefault="00F331C4">
      <w:pPr>
        <w:pStyle w:val="Titre1"/>
        <w:rPr>
          <w:sz w:val="40"/>
          <w:szCs w:val="40"/>
        </w:rPr>
      </w:pPr>
      <w:bookmarkStart w:id="5" w:name="_heading=h.tyjcwt" w:colFirst="0" w:colLast="0"/>
      <w:bookmarkEnd w:id="5"/>
      <w:r>
        <w:rPr>
          <w:sz w:val="40"/>
          <w:szCs w:val="40"/>
        </w:rPr>
        <w:t>Communication et collaboration</w:t>
      </w:r>
    </w:p>
    <w:p w:rsidR="0083050C" w:rsidRDefault="0083050C">
      <w:pPr>
        <w:widowControl/>
        <w:rPr>
          <w:rFonts w:hint="eastAsia"/>
        </w:rPr>
      </w:pPr>
    </w:p>
    <w:p w:rsidR="0083050C" w:rsidRDefault="00F331C4">
      <w:pPr>
        <w:widowControl/>
        <w:rPr>
          <w:rFonts w:hint="eastAsia"/>
        </w:rPr>
      </w:pPr>
      <w:r>
        <w:t>Nous avons pu constater que les posts chronométrés sur Instagram et facebook</w:t>
      </w:r>
      <w:r>
        <w:t xml:space="preserve"> ont augmenté le nombre de participants à nos réunions, de sorte que le SIG a pu atteindre encore plus de membres et d'éducateurs de musée dans le monde entier. </w:t>
      </w:r>
    </w:p>
    <w:p w:rsidR="0083050C" w:rsidRDefault="0083050C">
      <w:pPr>
        <w:widowControl/>
        <w:rPr>
          <w:rFonts w:hint="eastAsia"/>
          <w:b/>
          <w:sz w:val="22"/>
          <w:szCs w:val="22"/>
        </w:rPr>
      </w:pPr>
    </w:p>
    <w:p w:rsidR="0083050C" w:rsidRDefault="00F331C4">
      <w:pPr>
        <w:widowControl/>
        <w:numPr>
          <w:ilvl w:val="0"/>
          <w:numId w:val="2"/>
        </w:numPr>
        <w:spacing w:line="259" w:lineRule="auto"/>
        <w:rPr>
          <w:rFonts w:hint="eastAsia"/>
          <w:sz w:val="22"/>
          <w:szCs w:val="22"/>
        </w:rPr>
      </w:pPr>
      <w:r>
        <w:rPr>
          <w:sz w:val="22"/>
          <w:szCs w:val="22"/>
        </w:rPr>
        <w:t>Groupe WhatsApp (communication la plus active entre tous les membres)</w:t>
      </w:r>
    </w:p>
    <w:p w:rsidR="0083050C" w:rsidRDefault="00F331C4">
      <w:pPr>
        <w:widowControl/>
        <w:numPr>
          <w:ilvl w:val="0"/>
          <w:numId w:val="2"/>
        </w:numPr>
        <w:spacing w:line="259" w:lineRule="auto"/>
        <w:rPr>
          <w:rFonts w:hint="eastAsia"/>
          <w:sz w:val="22"/>
          <w:szCs w:val="22"/>
        </w:rPr>
      </w:pPr>
      <w:r>
        <w:rPr>
          <w:sz w:val="22"/>
          <w:szCs w:val="22"/>
        </w:rPr>
        <w:t>Réunions mensuelles en ligne</w:t>
      </w:r>
    </w:p>
    <w:p w:rsidR="0083050C" w:rsidRDefault="00F331C4">
      <w:pPr>
        <w:widowControl/>
        <w:numPr>
          <w:ilvl w:val="0"/>
          <w:numId w:val="2"/>
        </w:numPr>
        <w:spacing w:line="259" w:lineRule="auto"/>
        <w:rPr>
          <w:rFonts w:hint="eastAsia"/>
          <w:sz w:val="22"/>
          <w:szCs w:val="22"/>
        </w:rPr>
      </w:pPr>
      <w:r>
        <w:rPr>
          <w:sz w:val="22"/>
          <w:szCs w:val="22"/>
        </w:rPr>
        <w:lastRenderedPageBreak/>
        <w:t>Courrier</w:t>
      </w:r>
    </w:p>
    <w:p w:rsidR="0083050C" w:rsidRDefault="00F331C4">
      <w:pPr>
        <w:widowControl/>
        <w:numPr>
          <w:ilvl w:val="0"/>
          <w:numId w:val="2"/>
        </w:numPr>
        <w:spacing w:line="259" w:lineRule="auto"/>
        <w:rPr>
          <w:rFonts w:hint="eastAsia"/>
          <w:sz w:val="22"/>
          <w:szCs w:val="22"/>
        </w:rPr>
      </w:pPr>
      <w:r>
        <w:rPr>
          <w:sz w:val="22"/>
          <w:szCs w:val="22"/>
        </w:rPr>
        <w:t xml:space="preserve">Groupe et site Facebook "ICOM CECA Special Interest Group - Professional Development of Museum Educators </w:t>
      </w:r>
      <w:hyperlink r:id="rId10">
        <w:r>
          <w:rPr>
            <w:color w:val="0563C1"/>
            <w:sz w:val="22"/>
            <w:szCs w:val="22"/>
            <w:u w:val="single"/>
          </w:rPr>
          <w:t>"https://www.facebook.com/groups/670634543720885</w:t>
        </w:r>
      </w:hyperlink>
    </w:p>
    <w:p w:rsidR="0083050C" w:rsidRDefault="00F331C4">
      <w:pPr>
        <w:widowControl/>
        <w:numPr>
          <w:ilvl w:val="0"/>
          <w:numId w:val="2"/>
        </w:numPr>
        <w:spacing w:line="259" w:lineRule="auto"/>
        <w:rPr>
          <w:rFonts w:hint="eastAsia"/>
          <w:sz w:val="22"/>
          <w:szCs w:val="22"/>
        </w:rPr>
      </w:pPr>
      <w:r>
        <w:rPr>
          <w:sz w:val="22"/>
          <w:szCs w:val="22"/>
        </w:rPr>
        <w:t xml:space="preserve">Padlet : </w:t>
      </w:r>
    </w:p>
    <w:p w:rsidR="0083050C" w:rsidRDefault="00F331C4">
      <w:pPr>
        <w:widowControl/>
        <w:numPr>
          <w:ilvl w:val="1"/>
          <w:numId w:val="2"/>
        </w:numPr>
        <w:spacing w:line="259" w:lineRule="auto"/>
        <w:rPr>
          <w:rFonts w:hint="eastAsia"/>
          <w:sz w:val="22"/>
          <w:szCs w:val="22"/>
        </w:rPr>
      </w:pPr>
      <w:r>
        <w:rPr>
          <w:sz w:val="22"/>
          <w:szCs w:val="22"/>
        </w:rPr>
        <w:t xml:space="preserve">collection d'exemples de programmes de musées en ligne axés sur l'engagement du public </w:t>
      </w:r>
    </w:p>
    <w:p w:rsidR="0083050C" w:rsidRDefault="00F331C4">
      <w:pPr>
        <w:widowControl/>
        <w:numPr>
          <w:ilvl w:val="1"/>
          <w:numId w:val="2"/>
        </w:numPr>
        <w:spacing w:line="259" w:lineRule="auto"/>
        <w:rPr>
          <w:rFonts w:hint="eastAsia"/>
          <w:sz w:val="22"/>
          <w:szCs w:val="22"/>
        </w:rPr>
      </w:pPr>
      <w:r>
        <w:rPr>
          <w:sz w:val="22"/>
          <w:szCs w:val="22"/>
        </w:rPr>
        <w:t xml:space="preserve">CECA SIG Développement professionnel des éducateurs en muséologie - Conseil de contact </w:t>
      </w:r>
    </w:p>
    <w:p w:rsidR="0083050C" w:rsidRDefault="00F331C4">
      <w:pPr>
        <w:widowControl/>
        <w:numPr>
          <w:ilvl w:val="0"/>
          <w:numId w:val="2"/>
        </w:numPr>
        <w:spacing w:line="259" w:lineRule="auto"/>
        <w:rPr>
          <w:rFonts w:hint="eastAsia"/>
          <w:sz w:val="22"/>
          <w:szCs w:val="22"/>
        </w:rPr>
      </w:pPr>
      <w:r>
        <w:rPr>
          <w:sz w:val="22"/>
          <w:szCs w:val="22"/>
        </w:rPr>
        <w:t>Dossier Dropbox</w:t>
      </w:r>
    </w:p>
    <w:p w:rsidR="0083050C" w:rsidRDefault="0083050C">
      <w:pPr>
        <w:widowControl/>
        <w:spacing w:line="259" w:lineRule="auto"/>
        <w:rPr>
          <w:rFonts w:hint="eastAsia"/>
          <w:sz w:val="22"/>
          <w:szCs w:val="22"/>
        </w:rPr>
      </w:pPr>
    </w:p>
    <w:p w:rsidR="0083050C" w:rsidRDefault="0083050C">
      <w:pPr>
        <w:widowControl/>
        <w:spacing w:line="259" w:lineRule="auto"/>
        <w:rPr>
          <w:rFonts w:hint="eastAsia"/>
          <w:sz w:val="22"/>
          <w:szCs w:val="22"/>
        </w:rPr>
      </w:pPr>
    </w:p>
    <w:p w:rsidR="0083050C" w:rsidRDefault="00F331C4">
      <w:pPr>
        <w:widowControl/>
        <w:spacing w:line="259" w:lineRule="auto"/>
        <w:rPr>
          <w:rFonts w:hint="eastAsia"/>
          <w:sz w:val="22"/>
          <w:szCs w:val="22"/>
        </w:rPr>
      </w:pPr>
      <w:r>
        <w:rPr>
          <w:noProof/>
          <w:lang w:eastAsia="fr-FR" w:bidi="ar-SA"/>
        </w:rPr>
        <w:drawing>
          <wp:anchor distT="0" distB="0" distL="0" distR="0" simplePos="0" relativeHeight="251658240" behindDoc="0" locked="0" layoutInCell="1" allowOverlap="1">
            <wp:simplePos x="0" y="0"/>
            <wp:positionH relativeFrom="column">
              <wp:posOffset>19050</wp:posOffset>
            </wp:positionH>
            <wp:positionV relativeFrom="paragraph">
              <wp:posOffset>19050</wp:posOffset>
            </wp:positionV>
            <wp:extent cx="3513773" cy="2645393"/>
            <wp:effectExtent l="0" t="0" r="0" b="0"/>
            <wp:wrapSquare wrapText="bothSides" distT="0" distB="0" distL="0" distR="0"/>
            <wp:docPr id="18616234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3513773" cy="2645393"/>
                    </a:xfrm>
                    <a:prstGeom prst="rect">
                      <a:avLst/>
                    </a:prstGeom>
                    <a:ln/>
                  </pic:spPr>
                </pic:pic>
              </a:graphicData>
            </a:graphic>
          </wp:anchor>
        </w:drawing>
      </w:r>
    </w:p>
    <w:p w:rsidR="0083050C" w:rsidRDefault="0083050C">
      <w:pPr>
        <w:widowControl/>
        <w:spacing w:line="259" w:lineRule="auto"/>
        <w:rPr>
          <w:rFonts w:hint="eastAsia"/>
          <w:sz w:val="22"/>
          <w:szCs w:val="22"/>
        </w:rPr>
      </w:pPr>
    </w:p>
    <w:p w:rsidR="0083050C" w:rsidRDefault="0083050C">
      <w:pPr>
        <w:widowControl/>
        <w:spacing w:line="259" w:lineRule="auto"/>
        <w:rPr>
          <w:rFonts w:hint="eastAsia"/>
          <w:sz w:val="22"/>
          <w:szCs w:val="22"/>
        </w:rPr>
      </w:pPr>
    </w:p>
    <w:p w:rsidR="0083050C" w:rsidRDefault="0083050C">
      <w:pPr>
        <w:widowControl/>
        <w:spacing w:line="259" w:lineRule="auto"/>
        <w:rPr>
          <w:rFonts w:hint="eastAsia"/>
          <w:sz w:val="22"/>
          <w:szCs w:val="22"/>
        </w:rPr>
      </w:pPr>
    </w:p>
    <w:p w:rsidR="0083050C" w:rsidRDefault="00F331C4">
      <w:pPr>
        <w:widowControl/>
        <w:spacing w:after="160" w:line="259" w:lineRule="auto"/>
        <w:rPr>
          <w:rFonts w:hint="eastAsia"/>
          <w:sz w:val="22"/>
          <w:szCs w:val="22"/>
        </w:rPr>
      </w:pPr>
      <w:r>
        <w:rPr>
          <w:noProof/>
          <w:sz w:val="22"/>
          <w:szCs w:val="22"/>
          <w:lang w:eastAsia="fr-FR" w:bidi="ar-SA"/>
        </w:rPr>
        <w:drawing>
          <wp:inline distT="0" distB="0" distL="0" distR="0">
            <wp:extent cx="3551873" cy="2674976"/>
            <wp:effectExtent l="0" t="0" r="0" b="0"/>
            <wp:docPr id="18616234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3551873" cy="2674976"/>
                    </a:xfrm>
                    <a:prstGeom prst="rect">
                      <a:avLst/>
                    </a:prstGeom>
                    <a:ln/>
                  </pic:spPr>
                </pic:pic>
              </a:graphicData>
            </a:graphic>
          </wp:inline>
        </w:drawing>
      </w:r>
    </w:p>
    <w:sectPr w:rsidR="0083050C" w:rsidSect="0083050C">
      <w:footerReference w:type="default" r:id="rId13"/>
      <w:pgSz w:w="11906" w:h="16838"/>
      <w:pgMar w:top="850" w:right="1134" w:bottom="1416" w:left="1134" w:header="720" w:footer="85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1C4" w:rsidRDefault="00F331C4" w:rsidP="0083050C">
      <w:r>
        <w:separator/>
      </w:r>
    </w:p>
  </w:endnote>
  <w:endnote w:type="continuationSeparator" w:id="1">
    <w:p w:rsidR="00F331C4" w:rsidRDefault="00F331C4" w:rsidP="0083050C">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50C" w:rsidRDefault="0083050C">
    <w:pPr>
      <w:pBdr>
        <w:top w:val="nil"/>
        <w:left w:val="nil"/>
        <w:bottom w:val="nil"/>
        <w:right w:val="nil"/>
        <w:between w:val="nil"/>
      </w:pBdr>
      <w:tabs>
        <w:tab w:val="center" w:pos="4819"/>
        <w:tab w:val="right" w:pos="9638"/>
      </w:tabs>
      <w:jc w:val="right"/>
      <w:rPr>
        <w:rFonts w:eastAsia="Verdana" w:cs="Verdana"/>
        <w:color w:val="000000"/>
      </w:rPr>
    </w:pPr>
    <w:r>
      <w:rPr>
        <w:rFonts w:eastAsia="Verdana" w:cs="Verdana"/>
        <w:color w:val="000000"/>
      </w:rPr>
      <w:fldChar w:fldCharType="begin"/>
    </w:r>
    <w:r w:rsidR="00F331C4">
      <w:rPr>
        <w:rFonts w:eastAsia="Verdana" w:cs="Verdana"/>
        <w:color w:val="000000"/>
      </w:rPr>
      <w:instrText>PAGE</w:instrText>
    </w:r>
    <w:r w:rsidR="00567B3D">
      <w:rPr>
        <w:rFonts w:eastAsia="Verdana" w:cs="Verdana"/>
        <w:color w:val="000000"/>
      </w:rPr>
      <w:fldChar w:fldCharType="separate"/>
    </w:r>
    <w:r w:rsidR="00567B3D">
      <w:rPr>
        <w:rFonts w:eastAsia="Verdana" w:cs="Verdana"/>
        <w:noProof/>
        <w:color w:val="000000"/>
      </w:rPr>
      <w:t>1</w:t>
    </w:r>
    <w:r>
      <w:rPr>
        <w:rFonts w:eastAsia="Verdana" w:cs="Verdana"/>
        <w:color w:val="000000"/>
      </w:rPr>
      <w:fldChar w:fldCharType="end"/>
    </w:r>
  </w:p>
  <w:p w:rsidR="0083050C" w:rsidRDefault="00F331C4">
    <w:pPr>
      <w:pBdr>
        <w:top w:val="single" w:sz="4" w:space="0" w:color="000000"/>
        <w:left w:val="nil"/>
        <w:bottom w:val="nil"/>
        <w:right w:val="nil"/>
        <w:between w:val="nil"/>
      </w:pBdr>
      <w:tabs>
        <w:tab w:val="center" w:pos="4819"/>
        <w:tab w:val="right" w:pos="9638"/>
      </w:tabs>
      <w:rPr>
        <w:rFonts w:eastAsia="Verdana" w:cs="Verdana"/>
        <w:color w:val="000000"/>
      </w:rPr>
    </w:pPr>
    <w:r>
      <w:rPr>
        <w:rFonts w:eastAsia="Verdana" w:cs="Verdana"/>
        <w:color w:val="000000"/>
      </w:rPr>
      <w:t>CECA SIG Développement professionnel des éducateurs de musée 2023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1C4" w:rsidRDefault="00F331C4" w:rsidP="0083050C">
      <w:r>
        <w:separator/>
      </w:r>
    </w:p>
  </w:footnote>
  <w:footnote w:type="continuationSeparator" w:id="1">
    <w:p w:rsidR="00F331C4" w:rsidRDefault="00F331C4" w:rsidP="008305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1FCB"/>
    <w:multiLevelType w:val="multilevel"/>
    <w:tmpl w:val="EA72D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AF4E42"/>
    <w:multiLevelType w:val="multilevel"/>
    <w:tmpl w:val="1310D16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C4D50EA"/>
    <w:multiLevelType w:val="multilevel"/>
    <w:tmpl w:val="EEE43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CF56DF7"/>
    <w:multiLevelType w:val="multilevel"/>
    <w:tmpl w:val="E8441654"/>
    <w:lvl w:ilvl="0">
      <w:start w:val="18"/>
      <w:numFmt w:val="bullet"/>
      <w:lvlText w:val="-"/>
      <w:lvlJc w:val="left"/>
      <w:pPr>
        <w:ind w:left="0" w:firstLine="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6F64130D"/>
    <w:multiLevelType w:val="multilevel"/>
    <w:tmpl w:val="0E58BD1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83050C"/>
    <w:rsid w:val="00567B3D"/>
    <w:rsid w:val="0083050C"/>
    <w:rsid w:val="00F331C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Verdana" w:hAnsi="Verdana" w:cs="Verdana"/>
        <w:sz w:val="24"/>
        <w:szCs w:val="24"/>
        <w:lang w:val="en-US" w:eastAsia="fr-F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7DE"/>
    <w:pPr>
      <w:suppressAutoHyphens/>
    </w:pPr>
    <w:rPr>
      <w:rFonts w:eastAsia="SimSun" w:cs="Mangal"/>
      <w:kern w:val="1"/>
      <w:lang w:val="fr-FR" w:eastAsia="hi-IN" w:bidi="hi-IN"/>
    </w:rPr>
  </w:style>
  <w:style w:type="paragraph" w:styleId="Titre1">
    <w:name w:val="heading 1"/>
    <w:basedOn w:val="Normal"/>
    <w:next w:val="Normal"/>
    <w:link w:val="Titre1Car"/>
    <w:uiPriority w:val="9"/>
    <w:qFormat/>
    <w:rsid w:val="00B31D62"/>
    <w:pPr>
      <w:keepNext/>
      <w:spacing w:before="240" w:after="60"/>
      <w:outlineLvl w:val="0"/>
    </w:pPr>
    <w:rPr>
      <w:rFonts w:ascii="Calibri Light" w:eastAsia="Times New Roman" w:hAnsi="Calibri Light"/>
      <w:b/>
      <w:bCs/>
      <w:kern w:val="32"/>
      <w:sz w:val="32"/>
      <w:szCs w:val="29"/>
    </w:rPr>
  </w:style>
  <w:style w:type="paragraph" w:styleId="Titre2">
    <w:name w:val="heading 2"/>
    <w:basedOn w:val="normal0"/>
    <w:next w:val="normal0"/>
    <w:rsid w:val="0083050C"/>
    <w:pPr>
      <w:keepNext/>
      <w:keepLines/>
      <w:spacing w:before="360" w:after="80"/>
      <w:outlineLvl w:val="1"/>
    </w:pPr>
    <w:rPr>
      <w:b/>
      <w:sz w:val="36"/>
      <w:szCs w:val="36"/>
    </w:rPr>
  </w:style>
  <w:style w:type="paragraph" w:styleId="Titre3">
    <w:name w:val="heading 3"/>
    <w:basedOn w:val="normal0"/>
    <w:next w:val="normal0"/>
    <w:rsid w:val="0083050C"/>
    <w:pPr>
      <w:keepNext/>
      <w:keepLines/>
      <w:spacing w:before="280" w:after="80"/>
      <w:outlineLvl w:val="2"/>
    </w:pPr>
    <w:rPr>
      <w:b/>
      <w:sz w:val="28"/>
      <w:szCs w:val="28"/>
    </w:rPr>
  </w:style>
  <w:style w:type="paragraph" w:styleId="Titre4">
    <w:name w:val="heading 4"/>
    <w:basedOn w:val="normal0"/>
    <w:next w:val="normal0"/>
    <w:rsid w:val="0083050C"/>
    <w:pPr>
      <w:keepNext/>
      <w:keepLines/>
      <w:spacing w:before="240" w:after="40"/>
      <w:outlineLvl w:val="3"/>
    </w:pPr>
    <w:rPr>
      <w:b/>
    </w:rPr>
  </w:style>
  <w:style w:type="paragraph" w:styleId="Titre5">
    <w:name w:val="heading 5"/>
    <w:basedOn w:val="normal0"/>
    <w:next w:val="normal0"/>
    <w:rsid w:val="0083050C"/>
    <w:pPr>
      <w:keepNext/>
      <w:keepLines/>
      <w:spacing w:before="220" w:after="40"/>
      <w:outlineLvl w:val="4"/>
    </w:pPr>
    <w:rPr>
      <w:b/>
      <w:sz w:val="22"/>
      <w:szCs w:val="22"/>
    </w:rPr>
  </w:style>
  <w:style w:type="paragraph" w:styleId="Titre6">
    <w:name w:val="heading 6"/>
    <w:basedOn w:val="normal0"/>
    <w:next w:val="normal0"/>
    <w:rsid w:val="0083050C"/>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83050C"/>
  </w:style>
  <w:style w:type="table" w:customStyle="1" w:styleId="TableNormal">
    <w:name w:val="Table Normal"/>
    <w:rsid w:val="0083050C"/>
    <w:tblPr>
      <w:tblCellMar>
        <w:top w:w="0" w:type="dxa"/>
        <w:left w:w="0" w:type="dxa"/>
        <w:bottom w:w="0" w:type="dxa"/>
        <w:right w:w="0" w:type="dxa"/>
      </w:tblCellMar>
    </w:tblPr>
  </w:style>
  <w:style w:type="paragraph" w:styleId="Titre">
    <w:name w:val="Title"/>
    <w:basedOn w:val="normal0"/>
    <w:next w:val="normal0"/>
    <w:rsid w:val="0083050C"/>
    <w:pPr>
      <w:keepNext/>
      <w:keepLines/>
      <w:spacing w:before="480" w:after="120"/>
    </w:pPr>
    <w:rPr>
      <w:b/>
      <w:sz w:val="72"/>
      <w:szCs w:val="72"/>
    </w:rPr>
  </w:style>
  <w:style w:type="paragraph" w:customStyle="1" w:styleId="Titre10">
    <w:name w:val="Titre1"/>
    <w:basedOn w:val="Normal"/>
    <w:next w:val="Corpsdetexte"/>
    <w:rsid w:val="004617DE"/>
    <w:pPr>
      <w:keepNext/>
      <w:spacing w:before="240" w:after="120"/>
    </w:pPr>
    <w:rPr>
      <w:rFonts w:eastAsia="Microsoft YaHei"/>
      <w:sz w:val="28"/>
      <w:szCs w:val="28"/>
    </w:rPr>
  </w:style>
  <w:style w:type="paragraph" w:styleId="Corpsdetexte">
    <w:name w:val="Body Text"/>
    <w:basedOn w:val="Normal"/>
    <w:rsid w:val="004617DE"/>
    <w:pPr>
      <w:spacing w:after="120"/>
    </w:pPr>
  </w:style>
  <w:style w:type="paragraph" w:styleId="Liste">
    <w:name w:val="List"/>
    <w:basedOn w:val="Corpsdetexte"/>
    <w:rsid w:val="004617DE"/>
  </w:style>
  <w:style w:type="paragraph" w:customStyle="1" w:styleId="Lgende1">
    <w:name w:val="Légende1"/>
    <w:basedOn w:val="Normal"/>
    <w:rsid w:val="004617DE"/>
    <w:pPr>
      <w:suppressLineNumbers/>
      <w:spacing w:before="120" w:after="120"/>
    </w:pPr>
    <w:rPr>
      <w:i/>
      <w:iCs/>
    </w:rPr>
  </w:style>
  <w:style w:type="paragraph" w:customStyle="1" w:styleId="Index">
    <w:name w:val="Index"/>
    <w:basedOn w:val="Normal"/>
    <w:rsid w:val="004617DE"/>
    <w:pPr>
      <w:suppressLineNumbers/>
    </w:pPr>
  </w:style>
  <w:style w:type="paragraph" w:styleId="Pieddepage">
    <w:name w:val="footer"/>
    <w:basedOn w:val="Normal"/>
    <w:link w:val="PieddepageCar"/>
    <w:uiPriority w:val="99"/>
    <w:rsid w:val="004617DE"/>
    <w:pPr>
      <w:suppressLineNumbers/>
      <w:tabs>
        <w:tab w:val="center" w:pos="4819"/>
        <w:tab w:val="right" w:pos="9638"/>
      </w:tabs>
    </w:pPr>
  </w:style>
  <w:style w:type="paragraph" w:customStyle="1" w:styleId="Contenudetableau">
    <w:name w:val="Contenu de tableau"/>
    <w:basedOn w:val="Normal"/>
    <w:rsid w:val="004617DE"/>
    <w:pPr>
      <w:suppressLineNumbers/>
    </w:pPr>
  </w:style>
  <w:style w:type="paragraph" w:styleId="NormalWeb">
    <w:name w:val="Normal (Web)"/>
    <w:basedOn w:val="Normal"/>
    <w:uiPriority w:val="99"/>
    <w:unhideWhenUsed/>
    <w:rsid w:val="00801612"/>
    <w:pPr>
      <w:widowControl/>
      <w:suppressAutoHyphens w:val="0"/>
      <w:spacing w:before="100" w:beforeAutospacing="1" w:after="100" w:afterAutospacing="1"/>
    </w:pPr>
    <w:rPr>
      <w:rFonts w:ascii="Times New Roman" w:eastAsia="Times New Roman" w:hAnsi="Times New Roman" w:cs="Times New Roman"/>
      <w:kern w:val="0"/>
      <w:lang w:val="fr-CA" w:eastAsia="fr-CA" w:bidi="ar-SA"/>
    </w:rPr>
  </w:style>
  <w:style w:type="paragraph" w:styleId="Paragraphedeliste">
    <w:name w:val="List Paragraph"/>
    <w:basedOn w:val="Normal"/>
    <w:uiPriority w:val="34"/>
    <w:qFormat/>
    <w:rsid w:val="00515881"/>
    <w:pPr>
      <w:widowControl/>
      <w:suppressAutoHyphens w:val="0"/>
      <w:spacing w:after="160" w:line="259" w:lineRule="auto"/>
      <w:ind w:left="720"/>
      <w:contextualSpacing/>
    </w:pPr>
    <w:rPr>
      <w:rFonts w:ascii="Calibri" w:eastAsia="Calibri" w:hAnsi="Calibri" w:cs="Arial"/>
      <w:kern w:val="0"/>
      <w:sz w:val="22"/>
      <w:szCs w:val="22"/>
      <w:lang w:val="de-AT" w:eastAsia="en-US" w:bidi="ar-SA"/>
    </w:rPr>
  </w:style>
  <w:style w:type="character" w:styleId="Lienhypertexte">
    <w:name w:val="Hyperlink"/>
    <w:uiPriority w:val="99"/>
    <w:unhideWhenUsed/>
    <w:rsid w:val="007C7FFB"/>
    <w:rPr>
      <w:color w:val="0563C1"/>
      <w:u w:val="single"/>
    </w:rPr>
  </w:style>
  <w:style w:type="character" w:customStyle="1" w:styleId="UnresolvedMention">
    <w:name w:val="Unresolved Mention"/>
    <w:uiPriority w:val="99"/>
    <w:semiHidden/>
    <w:unhideWhenUsed/>
    <w:rsid w:val="007C7FFB"/>
    <w:rPr>
      <w:color w:val="605E5C"/>
      <w:shd w:val="clear" w:color="auto" w:fill="E1DFDD"/>
    </w:rPr>
  </w:style>
  <w:style w:type="table" w:styleId="Grilledutableau">
    <w:name w:val="Table Grid"/>
    <w:basedOn w:val="TableauNormal"/>
    <w:uiPriority w:val="39"/>
    <w:rsid w:val="00914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uiPriority w:val="9"/>
    <w:rsid w:val="00B31D62"/>
    <w:rPr>
      <w:rFonts w:ascii="Calibri Light" w:eastAsia="Times New Roman" w:hAnsi="Calibri Light" w:cs="Mangal"/>
      <w:b/>
      <w:bCs/>
      <w:kern w:val="32"/>
      <w:sz w:val="32"/>
      <w:szCs w:val="29"/>
      <w:lang w:val="fr-FR" w:eastAsia="hi-IN" w:bidi="hi-IN"/>
    </w:rPr>
  </w:style>
  <w:style w:type="paragraph" w:styleId="En-ttedetabledesmatires">
    <w:name w:val="TOC Heading"/>
    <w:basedOn w:val="Titre1"/>
    <w:next w:val="Normal"/>
    <w:uiPriority w:val="39"/>
    <w:unhideWhenUsed/>
    <w:qFormat/>
    <w:rsid w:val="00D8319E"/>
    <w:pPr>
      <w:keepLines/>
      <w:widowControl/>
      <w:suppressAutoHyphens w:val="0"/>
      <w:spacing w:after="0" w:line="259" w:lineRule="auto"/>
      <w:outlineLvl w:val="9"/>
    </w:pPr>
    <w:rPr>
      <w:rFonts w:cs="Times New Roman"/>
      <w:b w:val="0"/>
      <w:bCs w:val="0"/>
      <w:color w:val="2F5496"/>
      <w:kern w:val="0"/>
      <w:szCs w:val="32"/>
      <w:lang w:val="en-US" w:eastAsia="en-US" w:bidi="ar-SA"/>
    </w:rPr>
  </w:style>
  <w:style w:type="paragraph" w:styleId="TM1">
    <w:name w:val="toc 1"/>
    <w:basedOn w:val="Normal"/>
    <w:next w:val="Normal"/>
    <w:autoRedefine/>
    <w:uiPriority w:val="39"/>
    <w:unhideWhenUsed/>
    <w:rsid w:val="00D8319E"/>
    <w:rPr>
      <w:szCs w:val="21"/>
    </w:rPr>
  </w:style>
  <w:style w:type="paragraph" w:styleId="En-tte">
    <w:name w:val="header"/>
    <w:basedOn w:val="Normal"/>
    <w:link w:val="En-tteCar"/>
    <w:uiPriority w:val="99"/>
    <w:unhideWhenUsed/>
    <w:rsid w:val="0031414F"/>
    <w:pPr>
      <w:tabs>
        <w:tab w:val="center" w:pos="4819"/>
        <w:tab w:val="right" w:pos="9638"/>
      </w:tabs>
    </w:pPr>
    <w:rPr>
      <w:szCs w:val="21"/>
    </w:rPr>
  </w:style>
  <w:style w:type="character" w:customStyle="1" w:styleId="En-tteCar">
    <w:name w:val="En-tête Car"/>
    <w:basedOn w:val="Policepardfaut"/>
    <w:link w:val="En-tte"/>
    <w:uiPriority w:val="99"/>
    <w:rsid w:val="0031414F"/>
    <w:rPr>
      <w:rFonts w:ascii="Verdana" w:eastAsia="SimSun" w:hAnsi="Verdana" w:cs="Mangal"/>
      <w:kern w:val="1"/>
      <w:sz w:val="24"/>
      <w:szCs w:val="21"/>
      <w:lang w:val="fr-FR" w:eastAsia="hi-IN" w:bidi="hi-IN"/>
    </w:rPr>
  </w:style>
  <w:style w:type="character" w:customStyle="1" w:styleId="PieddepageCar">
    <w:name w:val="Pied de page Car"/>
    <w:basedOn w:val="Policepardfaut"/>
    <w:link w:val="Pieddepage"/>
    <w:uiPriority w:val="99"/>
    <w:rsid w:val="0031414F"/>
    <w:rPr>
      <w:rFonts w:ascii="Verdana" w:eastAsia="SimSun" w:hAnsi="Verdana" w:cs="Mangal"/>
      <w:kern w:val="1"/>
      <w:sz w:val="24"/>
      <w:szCs w:val="24"/>
      <w:lang w:val="fr-FR" w:eastAsia="hi-IN" w:bidi="hi-IN"/>
    </w:rPr>
  </w:style>
  <w:style w:type="paragraph" w:styleId="Textedebulles">
    <w:name w:val="Balloon Text"/>
    <w:basedOn w:val="Normal"/>
    <w:link w:val="TextedebullesCar"/>
    <w:uiPriority w:val="99"/>
    <w:semiHidden/>
    <w:unhideWhenUsed/>
    <w:rsid w:val="00F25A6A"/>
    <w:rPr>
      <w:rFonts w:ascii="Tahoma" w:hAnsi="Tahoma"/>
      <w:sz w:val="16"/>
      <w:szCs w:val="14"/>
    </w:rPr>
  </w:style>
  <w:style w:type="character" w:customStyle="1" w:styleId="TextedebullesCar">
    <w:name w:val="Texte de bulles Car"/>
    <w:basedOn w:val="Policepardfaut"/>
    <w:link w:val="Textedebulles"/>
    <w:uiPriority w:val="99"/>
    <w:semiHidden/>
    <w:rsid w:val="00F25A6A"/>
    <w:rPr>
      <w:rFonts w:ascii="Tahoma" w:eastAsia="SimSun" w:hAnsi="Tahoma" w:cs="Mangal"/>
      <w:kern w:val="1"/>
      <w:sz w:val="16"/>
      <w:szCs w:val="14"/>
      <w:lang w:val="fr-FR" w:eastAsia="hi-IN" w:bidi="hi-IN"/>
    </w:rPr>
  </w:style>
  <w:style w:type="paragraph" w:styleId="Sous-titre">
    <w:name w:val="Subtitle"/>
    <w:basedOn w:val="Normal"/>
    <w:next w:val="Normal"/>
    <w:rsid w:val="0083050C"/>
    <w:pPr>
      <w:keepNext/>
      <w:keepLines/>
      <w:spacing w:before="360" w:after="80"/>
    </w:pPr>
    <w:rPr>
      <w:rFonts w:ascii="Georgia" w:eastAsia="Georgia" w:hAnsi="Georgia" w:cs="Georgia"/>
      <w:i/>
      <w:color w:val="666666"/>
      <w:sz w:val="48"/>
      <w:szCs w:val="48"/>
    </w:rPr>
  </w:style>
  <w:style w:type="table" w:customStyle="1" w:styleId="a">
    <w:basedOn w:val="TableNormal"/>
    <w:rsid w:val="0083050C"/>
    <w:tblPr>
      <w:tblStyleRowBandSize w:val="1"/>
      <w:tblStyleColBandSize w:val="1"/>
      <w:tblCellMar>
        <w:top w:w="57" w:type="dxa"/>
        <w:left w:w="57" w:type="dxa"/>
        <w:bottom w:w="57" w:type="dxa"/>
        <w:right w:w="57"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acebook.com/groups/6706345437208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HGyAMLpQNO/6wbCA1hoaApmo4Q==">CgMxLjAyCGguZ2pkZ3hzMgloLjMwajB6bGwyCWguMWZvYjl0ZTIJaC4zem55c2g3MgloLjJldDkycDAyCGgudHlqY3d0OAByITFzRDNMV3U2TjUyYndHSU9SV2lTcXA0dl82VzVwS0UxUw==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1089</Words>
  <Characters>5990</Characters>
  <Application>Microsoft Office Word</Application>
  <DocSecurity>0</DocSecurity>
  <Lines>49</Lines>
  <Paragraphs>14</Paragraphs>
  <ScaleCrop>false</ScaleCrop>
  <Company/>
  <LinksUpToDate>false</LinksUpToDate>
  <CharactersWithSpaces>7065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 D</dc:creator>
  <cp:lastModifiedBy>user</cp:lastModifiedBy>
  <cp:revision>2</cp:revision>
  <dcterms:created xsi:type="dcterms:W3CDTF">2025-01-09T17:59:00Z</dcterms:created>
  <dcterms:modified xsi:type="dcterms:W3CDTF">2025-01-09T17:59:00Z</dcterms:modified>
</cp:coreProperties>
</file>